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34" w:rsidRPr="00233E3F" w:rsidRDefault="00233E3F" w:rsidP="00233E3F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  <w:proofErr w:type="gramStart"/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المادة</w:t>
      </w:r>
      <w:r w:rsidRPr="00233E3F">
        <w:rPr>
          <w:rFonts w:ascii="Sakkal Majalla" w:hAnsi="Sakkal Majalla" w:cs="Sakkal Majalla" w:hint="cs"/>
          <w:color w:val="7030A0"/>
          <w:sz w:val="28"/>
          <w:szCs w:val="28"/>
          <w:rtl/>
          <w:lang w:bidi="ar-DZ"/>
        </w:rPr>
        <w:t xml:space="preserve"> :</w:t>
      </w:r>
      <w:proofErr w:type="gramEnd"/>
      <w:r w:rsidRPr="00233E3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الأنظمة الدولية للمحاسبة الوطنية </w:t>
      </w:r>
    </w:p>
    <w:p w:rsidR="00233E3F" w:rsidRDefault="0018779E" w:rsidP="00BD7E1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الدرس </w:t>
      </w:r>
      <w:r w:rsidR="00BD7E1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الخامس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: </w:t>
      </w:r>
      <w:r w:rsidR="00BD7E1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عمليات توزيع الدخل و حسابات القطاعات ( الجزء </w:t>
      </w:r>
      <w:proofErr w:type="spellStart"/>
      <w:r w:rsidR="00BD7E1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الاول</w:t>
      </w:r>
      <w:proofErr w:type="spellEnd"/>
      <w:r w:rsidR="00BD7E1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)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</w:t>
      </w:r>
    </w:p>
    <w:p w:rsidR="00233E3F" w:rsidRPr="00233E3F" w:rsidRDefault="00233E3F" w:rsidP="00233E3F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المسؤولة عن المادة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د-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مغتات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صابرينة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233E3F" w:rsidRPr="00233E3F" w:rsidRDefault="00233E3F" w:rsidP="002D24EE">
      <w:pPr>
        <w:bidi/>
        <w:spacing w:after="0" w:line="240" w:lineRule="auto"/>
        <w:rPr>
          <w:rFonts w:ascii="Sakkal Majalla" w:hAnsi="Sakkal Majalla" w:cs="Sakkal Majalla"/>
          <w:color w:val="7030A0"/>
          <w:sz w:val="28"/>
          <w:szCs w:val="28"/>
          <w:rtl/>
          <w:lang w:bidi="ar-DZ"/>
        </w:rPr>
      </w:pPr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المعارف المسبقة</w:t>
      </w:r>
      <w:r w:rsidRPr="00233E3F">
        <w:rPr>
          <w:rFonts w:ascii="Sakkal Majalla" w:hAnsi="Sakkal Majalla" w:cs="Sakkal Majalla" w:hint="cs"/>
          <w:color w:val="7030A0"/>
          <w:sz w:val="28"/>
          <w:szCs w:val="28"/>
          <w:rtl/>
          <w:lang w:bidi="ar-DZ"/>
        </w:rPr>
        <w:t xml:space="preserve">: </w:t>
      </w:r>
      <w:r w:rsidR="002D24E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التركيز على معارف الدرس السابق </w:t>
      </w:r>
    </w:p>
    <w:p w:rsidR="00BD7E19" w:rsidRPr="00BD7E19" w:rsidRDefault="00233E3F" w:rsidP="00BD7E1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33E3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ا</w:t>
      </w:r>
      <w:r w:rsidRPr="00233E3F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لأهداف</w:t>
      </w:r>
      <w:r w:rsidRPr="00233E3F">
        <w:rPr>
          <w:rFonts w:ascii="Sakkal Majalla" w:hAnsi="Sakkal Majalla" w:cs="Sakkal Majalla" w:hint="cs"/>
          <w:b/>
          <w:bCs/>
          <w:color w:val="7030A0"/>
          <w:sz w:val="28"/>
          <w:szCs w:val="28"/>
          <w:rtl/>
          <w:lang w:bidi="ar-DZ"/>
        </w:rPr>
        <w:t xml:space="preserve">: </w:t>
      </w:r>
      <w:proofErr w:type="gramStart"/>
      <w:r w:rsidR="002D24E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دراسة </w:t>
      </w:r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مجمعات</w:t>
      </w:r>
      <w:proofErr w:type="gramEnd"/>
      <w:r w:rsidR="00BD7E1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الدخل </w:t>
      </w:r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وفقا لنظامي </w:t>
      </w:r>
      <w:r w:rsidR="0018779E">
        <w:rPr>
          <w:rFonts w:ascii="Sakkal Majalla" w:hAnsi="Sakkal Majalla" w:cs="Sakkal Majalla"/>
          <w:sz w:val="28"/>
          <w:szCs w:val="28"/>
          <w:lang w:bidi="ar-DZ"/>
        </w:rPr>
        <w:t>SCEA</w:t>
      </w:r>
      <w:r w:rsidR="0018779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</w:t>
      </w:r>
      <w:r w:rsidR="0018779E">
        <w:rPr>
          <w:rFonts w:ascii="Sakkal Majalla" w:hAnsi="Sakkal Majalla" w:cs="Sakkal Majalla"/>
          <w:sz w:val="28"/>
          <w:szCs w:val="28"/>
          <w:lang w:bidi="ar-DZ"/>
        </w:rPr>
        <w:t xml:space="preserve">SCN </w:t>
      </w:r>
    </w:p>
    <w:p w:rsidR="00BD7E19" w:rsidRPr="00DC106E" w:rsidRDefault="00BD7E19" w:rsidP="00BD7E19">
      <w:pPr>
        <w:pStyle w:val="Paragraphedeliste"/>
        <w:numPr>
          <w:ilvl w:val="0"/>
          <w:numId w:val="47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0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أولا: </w:t>
      </w:r>
      <w:proofErr w:type="gramStart"/>
      <w:r w:rsidRPr="00DC10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عمليات</w:t>
      </w:r>
      <w:proofErr w:type="gramEnd"/>
      <w:r w:rsidRPr="00DC10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توزيع الدخل: 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لقد رأينا فيما سبق عمليات على السلع والخدمات و كيفية استعمال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السلع و الخدمات و سنتطرق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الان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دراسة كيفية توزيع الدخل الناتج عن عملية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و تبين عملية التوزيع كيفية دوران مختلف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المداخيل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بين الأعوا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 الاقتصادية و تكون هذه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المداخيل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اما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ناتجة عن توزيع أولي أو توزيع ثانوي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</w:p>
    <w:p w:rsidR="00BD7E19" w:rsidRDefault="00BD7E19" w:rsidP="00BD7E19">
      <w:pPr>
        <w:pStyle w:val="Paragraphedeliste"/>
        <w:numPr>
          <w:ilvl w:val="0"/>
          <w:numId w:val="4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2B60C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عملية</w:t>
      </w:r>
      <w:proofErr w:type="gramEnd"/>
      <w:r w:rsidRPr="002B60C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التوزيع الأولي:</w:t>
      </w:r>
    </w:p>
    <w:p w:rsidR="00BD7E19" w:rsidRPr="002B60CF" w:rsidRDefault="00BD7E19" w:rsidP="00BD7E19">
      <w:pPr>
        <w:bidi/>
        <w:ind w:left="36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أثناء عملية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تختلف القيمة المضافة الخام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فيتم توزيعها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B60CF">
        <w:rPr>
          <w:rFonts w:ascii="Sakkal Majalla" w:hAnsi="Sakkal Majalla" w:cs="Sakkal Majalla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BD7E19" w:rsidRDefault="00BD7E19" w:rsidP="00BD7E19">
      <w:pPr>
        <w:bidi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15515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التوزيع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Pr="00315515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الأولي∑ = </w:t>
      </w:r>
      <w:proofErr w:type="spellStart"/>
      <w:r w:rsidRPr="00315515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المداخيل</w:t>
      </w:r>
      <w:proofErr w:type="spellEnd"/>
      <w:r w:rsidRPr="00315515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Pr="00315515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∑</w:t>
      </w:r>
    </w:p>
    <w:p w:rsidR="00BD7E19" w:rsidRDefault="00BD7E19" w:rsidP="00BD7E19">
      <w:pPr>
        <w:bidi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VAB+SUB= RS+ILP+EBE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A0D5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 يعتبر التوزيع أوليا للدخل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كل التوزيعات الناتجة عن تقسيم القيمة المضافة الخام و في بعض الأحيان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اعانات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الاستغلال(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وجدت) و هي :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5515">
        <w:rPr>
          <w:rFonts w:asciiTheme="majorBidi" w:hAnsiTheme="majorBidi" w:cstheme="majorBidi"/>
          <w:b/>
          <w:bCs/>
          <w:sz w:val="32"/>
          <w:szCs w:val="32"/>
          <w:lang w:bidi="ar-DZ"/>
        </w:rPr>
        <w:t>VAB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قيمة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العمل)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سلع و خدمات .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5515">
        <w:rPr>
          <w:rFonts w:asciiTheme="majorBidi" w:hAnsiTheme="majorBidi" w:cstheme="majorBidi"/>
          <w:b/>
          <w:bCs/>
          <w:sz w:val="32"/>
          <w:szCs w:val="32"/>
          <w:lang w:bidi="ar-DZ"/>
        </w:rPr>
        <w:t>SUB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اعانات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الاستغلال و هي عبارة عن مساعدات نقدية مقدمة من طرف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الادارات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العمومية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للمنتجين(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بعضهم ) من أجل دعم الأسعار.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5515">
        <w:rPr>
          <w:rFonts w:asciiTheme="majorBidi" w:hAnsiTheme="majorBidi" w:cstheme="majorBidi"/>
          <w:b/>
          <w:bCs/>
          <w:sz w:val="32"/>
          <w:szCs w:val="32"/>
          <w:lang w:bidi="ar-DZ"/>
        </w:rPr>
        <w:t>RS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تعويضات الأجراء و تمثل عوائد الأجراء التي يتقاضاها العمال مقابل عمل.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5515">
        <w:rPr>
          <w:rFonts w:asciiTheme="majorBidi" w:hAnsiTheme="majorBidi" w:cstheme="majorBidi"/>
          <w:b/>
          <w:bCs/>
          <w:sz w:val="32"/>
          <w:szCs w:val="32"/>
          <w:lang w:bidi="ar-DZ"/>
        </w:rPr>
        <w:t>ILP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هي ضرائب غير مباشرة تدفعها القطاعات المنتجة على نشاطها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15515">
        <w:rPr>
          <w:rFonts w:asciiTheme="majorBidi" w:hAnsiTheme="majorBidi" w:cstheme="majorBidi"/>
          <w:b/>
          <w:bCs/>
          <w:sz w:val="32"/>
          <w:szCs w:val="32"/>
          <w:lang w:bidi="ar-DZ"/>
        </w:rPr>
        <w:t>EBE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يمثل الفائض الخام للاستغلال عائد رأس المال و يضم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اهتلاك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رأس المال الثابت</w:t>
      </w:r>
    </w:p>
    <w:p w:rsidR="00BD7E19" w:rsidRDefault="00BD7E19" w:rsidP="00BD7E19">
      <w:pPr>
        <w:pStyle w:val="Paragraphedeliste"/>
        <w:numPr>
          <w:ilvl w:val="0"/>
          <w:numId w:val="4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A57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عملية التوزيع </w:t>
      </w:r>
      <w:proofErr w:type="gramStart"/>
      <w:r w:rsidRPr="001A57F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الثانوي :</w:t>
      </w:r>
      <w:proofErr w:type="gramEnd"/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06556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تمثل كل التحويلات الناشئة من أحد </w:t>
      </w:r>
      <w:proofErr w:type="spellStart"/>
      <w:r w:rsidRPr="00306556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Pr="003065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التوزيع الأولي توزيعا ثانويا و بالتالي هي تعرف كتحويلات من عون </w:t>
      </w:r>
      <w:proofErr w:type="spellStart"/>
      <w:r w:rsidRPr="00306556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3065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عون أهمها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BD7E19" w:rsidRDefault="00BD7E19" w:rsidP="00BD7E19">
      <w:pPr>
        <w:bidi/>
        <w:ind w:left="360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BD7E19" w:rsidRPr="00301060" w:rsidRDefault="00BD7E19" w:rsidP="00BD7E19">
      <w:pPr>
        <w:pStyle w:val="Paragraphedeliste"/>
        <w:numPr>
          <w:ilvl w:val="0"/>
          <w:numId w:val="49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علاوات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تأمين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الأخطار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 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>Les Primes d’Assurance Dommages « PAD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»):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وتتمثل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المدفوعات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تقدمها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الأعوان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الاقتصادية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لشركات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التأمين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المختلفة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مثل</w:t>
      </w:r>
      <w:r w:rsidRPr="0030106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الحوادث،الحرائق</w:t>
      </w:r>
      <w:r w:rsidRPr="00301060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proofErr w:type="gramStart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الخ</w:t>
      </w:r>
      <w:proofErr w:type="gramEnd"/>
    </w:p>
    <w:p w:rsidR="00BD7E19" w:rsidRDefault="00BD7E19" w:rsidP="00BD7E19">
      <w:pPr>
        <w:pStyle w:val="Paragraphedeliste"/>
        <w:numPr>
          <w:ilvl w:val="0"/>
          <w:numId w:val="49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تعويضات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التأمين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الأخطار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 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>Indemnités d’assurance dommages « IAD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»):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وتتمثل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المدفوعات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تقدمهاشركات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التأمين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للمؤمنين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لديهافي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حالةالكوارث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D7E19" w:rsidRPr="00301060" w:rsidRDefault="00BD7E19" w:rsidP="00BD7E19">
      <w:pPr>
        <w:pStyle w:val="Paragraphedeliste"/>
        <w:numPr>
          <w:ilvl w:val="0"/>
          <w:numId w:val="49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مداخيل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الملكية: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( les revenus de la propri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été et de l’entreprise  « RPE »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BD7E19" w:rsidRPr="00301060" w:rsidRDefault="00BD7E19" w:rsidP="00BD7E19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تتكون هذه </w:t>
      </w:r>
      <w:proofErr w:type="spellStart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المداخيل</w:t>
      </w:r>
      <w:proofErr w:type="spellEnd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الفوائد، الأسهم، عوائد استغلال الأراضي، حقوق التأليف، براءات الاختراع بالإضافة </w:t>
      </w:r>
      <w:proofErr w:type="spellStart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المؤسسات </w:t>
      </w:r>
      <w:proofErr w:type="spellStart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الانتاجية</w:t>
      </w:r>
      <w:proofErr w:type="spellEnd"/>
      <w:r w:rsidRPr="003010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الخاصة و المقتطعة من الأرباح و الموجهة لحاجاتهم الخاصة.</w:t>
      </w:r>
    </w:p>
    <w:p w:rsidR="00BD7E19" w:rsidRPr="0080755C" w:rsidRDefault="00BD7E19" w:rsidP="00BD7E19">
      <w:pPr>
        <w:pStyle w:val="Paragraphedeliste"/>
        <w:numPr>
          <w:ilvl w:val="0"/>
          <w:numId w:val="49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الخدمات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الاجتماعية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:(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>Les Prestations Sociales « PS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»):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الدفعات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العينية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النقدية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المقدمةمن</w:t>
      </w:r>
      <w:proofErr w:type="spellEnd"/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القطاعات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لصالح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قطاع</w:t>
      </w:r>
      <w:r w:rsidRPr="0080755C">
        <w:rPr>
          <w:rFonts w:ascii="Sakkal Majalla" w:hAnsi="Sakkal Majalla" w:cs="Sakkal Majalla"/>
          <w:sz w:val="32"/>
          <w:szCs w:val="32"/>
          <w:lang w:bidi="ar-DZ"/>
        </w:rPr>
        <w:t>MEI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مثل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تعويضات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نفقات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العلاج،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معاش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التقاعد</w:t>
      </w:r>
    </w:p>
    <w:p w:rsidR="00BD7E19" w:rsidRPr="0080755C" w:rsidRDefault="00BD7E19" w:rsidP="004D5C73">
      <w:pPr>
        <w:pStyle w:val="Paragraphedeliste"/>
        <w:numPr>
          <w:ilvl w:val="0"/>
          <w:numId w:val="49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الاشتراكات</w:t>
      </w:r>
      <w:r w:rsidR="004D5C7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الاجتماعية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Les Cotisations Sociales </w:t>
      </w:r>
      <w:proofErr w:type="gramStart"/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>«  CS</w:t>
      </w:r>
      <w:proofErr w:type="gramEnd"/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»):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4D5C7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دفعات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نقدية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يدفعها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المستخدمون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وخاصة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قطاع</w:t>
      </w:r>
      <w:r w:rsidRPr="0080755C">
        <w:rPr>
          <w:rFonts w:ascii="Sakkal Majalla" w:hAnsi="Sakkal Majalla" w:cs="Sakkal Majalla"/>
          <w:sz w:val="32"/>
          <w:szCs w:val="32"/>
          <w:lang w:bidi="ar-DZ"/>
        </w:rPr>
        <w:t>MEI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لمختلف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هيئات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>ض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مان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</w:t>
      </w:r>
      <w:r w:rsidRPr="0080755C">
        <w:rPr>
          <w:rFonts w:ascii="Sakkal Majalla" w:hAnsi="Sakkal Majalla" w:cs="Sakkal Majalla"/>
          <w:sz w:val="32"/>
          <w:szCs w:val="32"/>
          <w:lang w:bidi="ar-DZ"/>
        </w:rPr>
        <w:t>AP</w:t>
      </w:r>
    </w:p>
    <w:p w:rsidR="00BD7E19" w:rsidRPr="0080755C" w:rsidRDefault="00BD7E19" w:rsidP="004D5C73">
      <w:pPr>
        <w:pStyle w:val="Paragraphedeliste"/>
        <w:numPr>
          <w:ilvl w:val="0"/>
          <w:numId w:val="49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التحويلات</w:t>
      </w:r>
      <w:r w:rsidR="004D5C7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الجارية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 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>Les Transferts Courants »TC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»):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تلكا</w:t>
      </w:r>
      <w:proofErr w:type="spellEnd"/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لمبالغ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المحولة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بدون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مقابل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عكس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تعويضات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الأجراء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ويدخل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ضمنها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اعانات</w:t>
      </w:r>
      <w:proofErr w:type="spellEnd"/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المنكوبين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والمنح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الدراسية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ومساهمات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لمنظمات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الدولية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تحويلات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العمال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المهاجرين</w:t>
      </w:r>
      <w:r w:rsidR="004D5C7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لدويهم</w:t>
      </w:r>
    </w:p>
    <w:p w:rsidR="00BD7E19" w:rsidRPr="0080755C" w:rsidRDefault="00BD7E19" w:rsidP="000D52AB">
      <w:pPr>
        <w:pStyle w:val="Paragraphedeliste"/>
        <w:numPr>
          <w:ilvl w:val="0"/>
          <w:numId w:val="49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التحويلات</w:t>
      </w:r>
      <w:r w:rsidR="000D52A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80755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الرأسمالية</w:t>
      </w:r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:((</w:t>
      </w:r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Les Transferts en Capital « </w:t>
      </w:r>
      <w:proofErr w:type="spellStart"/>
      <w:r w:rsidRPr="0080755C">
        <w:rPr>
          <w:rFonts w:ascii="Sakkal Majalla" w:hAnsi="Sakkal Majalla" w:cs="Sakkal Majalla"/>
          <w:b/>
          <w:bCs/>
          <w:sz w:val="32"/>
          <w:szCs w:val="32"/>
          <w:lang w:bidi="ar-DZ"/>
        </w:rPr>
        <w:t>TCa</w:t>
      </w:r>
      <w:proofErr w:type="spellEnd"/>
      <w:r w:rsidRPr="00807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»)</w:t>
      </w:r>
      <w:r w:rsidR="000D52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تتمثل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هده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التحويلات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اعانات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الاستثمار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تدفعها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للقطاع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الانتاجي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بالإ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ض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افة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تأخ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ذ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ذ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التحويلات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شكل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هبات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الدول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بهدف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تمويل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العجز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التجارة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0755C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D7E19" w:rsidRDefault="00BD7E19" w:rsidP="00BD7E1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ثانيا: </w:t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مجمعات الدخل في نظام 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>SCEA</w:t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BD7E19" w:rsidRPr="00137708" w:rsidRDefault="00BD7E19" w:rsidP="00BD7E1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يقوم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نظام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الحسابات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الاقتصادية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الجزائرية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بحساب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المداخيل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المجمعات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التالية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137708">
        <w:rPr>
          <w:rFonts w:ascii="Sakkal Majalla" w:hAnsi="Sakkal Majalla" w:cs="Sakkal Majalla"/>
          <w:sz w:val="32"/>
          <w:szCs w:val="32"/>
          <w:lang w:bidi="ar-DZ"/>
        </w:rPr>
        <w:tab/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</w:t>
      </w:r>
      <w:r w:rsidRPr="0013770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*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Pr="00137708">
        <w:rPr>
          <w:rFonts w:ascii="Sakkal Majalla" w:hAnsi="Sakkal Majalla" w:cs="Sakkal Majalla"/>
          <w:sz w:val="32"/>
          <w:szCs w:val="32"/>
          <w:rtl/>
          <w:lang w:bidi="ar-DZ"/>
        </w:rPr>
        <w:t xml:space="preserve">*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المتاح</w:t>
      </w:r>
    </w:p>
    <w:p w:rsidR="00BD7E19" w:rsidRPr="00137708" w:rsidRDefault="00BD7E19" w:rsidP="000D52AB">
      <w:pPr>
        <w:bidi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>1-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ab/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الداخلي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>(</w:t>
      </w:r>
      <w:proofErr w:type="gramEnd"/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Revenu Intérieur RI) : </w:t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يمثل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المجمع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مجموع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المداخيل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الأولية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المكونة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داخل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الوطن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عوائد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الأجراء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ربح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رأس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المال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والضرائب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الصافية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الاعانات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يحسب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كمايلي</w:t>
      </w:r>
      <w:proofErr w:type="spellEnd"/>
      <w:r w:rsidRPr="00137708">
        <w:rPr>
          <w:rFonts w:ascii="Sakkal Majalla" w:hAnsi="Sakkal Majalla" w:cs="Sakkal Majalla"/>
          <w:sz w:val="32"/>
          <w:szCs w:val="32"/>
          <w:lang w:bidi="ar-DZ"/>
        </w:rPr>
        <w:t xml:space="preserve"> : </w:t>
      </w:r>
    </w:p>
    <w:p w:rsidR="00BD7E19" w:rsidRPr="00137708" w:rsidRDefault="00BD7E19" w:rsidP="00BD7E19">
      <w:pPr>
        <w:bidi/>
        <w:ind w:left="36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137708">
        <w:rPr>
          <w:rFonts w:asciiTheme="majorBidi" w:hAnsiTheme="majorBidi" w:cstheme="majorBidi"/>
          <w:sz w:val="32"/>
          <w:szCs w:val="32"/>
          <w:lang w:bidi="ar-DZ"/>
        </w:rPr>
        <w:t>RI=RS</w:t>
      </w:r>
      <w:proofErr w:type="gramStart"/>
      <w:r w:rsidRPr="00137708">
        <w:rPr>
          <w:rFonts w:asciiTheme="majorBidi" w:hAnsiTheme="majorBidi" w:cstheme="majorBidi"/>
          <w:sz w:val="32"/>
          <w:szCs w:val="32"/>
          <w:lang w:bidi="ar-DZ"/>
        </w:rPr>
        <w:t>+(</w:t>
      </w:r>
      <w:proofErr w:type="gramEnd"/>
      <w:r w:rsidRPr="00137708">
        <w:rPr>
          <w:rFonts w:asciiTheme="majorBidi" w:hAnsiTheme="majorBidi" w:cstheme="majorBidi"/>
          <w:sz w:val="32"/>
          <w:szCs w:val="32"/>
          <w:lang w:bidi="ar-DZ"/>
        </w:rPr>
        <w:t>ILP-SUB)+EBE+ENE</w:t>
      </w:r>
    </w:p>
    <w:p w:rsidR="00BD7E19" w:rsidRDefault="00BD7E19" w:rsidP="00BD7E19">
      <w:pPr>
        <w:bidi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وبطريقة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يعرف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بالإنتاج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الصافي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137708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:</w:t>
      </w:r>
      <w:proofErr w:type="gramEnd"/>
    </w:p>
    <w:p w:rsidR="00BD7E19" w:rsidRDefault="00BD7E19" w:rsidP="00BD7E19">
      <w:pPr>
        <w:bidi/>
        <w:ind w:left="36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37708">
        <w:rPr>
          <w:rFonts w:asciiTheme="majorBidi" w:hAnsiTheme="majorBidi" w:cstheme="majorBidi"/>
          <w:sz w:val="32"/>
          <w:szCs w:val="32"/>
          <w:lang w:bidi="ar-DZ"/>
        </w:rPr>
        <w:t>RI=PIN</w:t>
      </w:r>
    </w:p>
    <w:p w:rsidR="00BD7E19" w:rsidRPr="00A85E04" w:rsidRDefault="00BD7E19" w:rsidP="00BD7E19">
      <w:pPr>
        <w:bidi/>
        <w:ind w:left="36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5E04">
        <w:rPr>
          <w:rFonts w:ascii="Sakkal Majalla" w:hAnsi="Sakkal Majalla" w:cs="Sakkal Majalla"/>
          <w:sz w:val="32"/>
          <w:szCs w:val="32"/>
          <w:rtl/>
          <w:lang w:bidi="ar-DZ"/>
        </w:rPr>
        <w:t>و يمكن أن نبرهن على ذلك كما يلي :</w:t>
      </w:r>
    </w:p>
    <w:p w:rsidR="00BD7E19" w:rsidRPr="00137708" w:rsidRDefault="00BD7E19" w:rsidP="00BD7E19">
      <w:pPr>
        <w:bidi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لدينا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ab/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ab/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ab/>
      </w:r>
      <w:r w:rsidRPr="00A85E04">
        <w:rPr>
          <w:rFonts w:asciiTheme="majorBidi" w:hAnsiTheme="majorBidi" w:cstheme="majorBidi"/>
          <w:sz w:val="32"/>
          <w:szCs w:val="32"/>
          <w:lang w:bidi="ar-DZ"/>
        </w:rPr>
        <w:t xml:space="preserve">PIB=VAB+TVA+DTI </w:t>
      </w:r>
    </w:p>
    <w:p w:rsidR="00BD7E19" w:rsidRPr="00A85E04" w:rsidRDefault="00BD7E19" w:rsidP="00BD7E19">
      <w:pPr>
        <w:bidi/>
        <w:ind w:left="36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نعوض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القيمة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المضافة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الخام</w:t>
      </w:r>
      <w:proofErr w:type="gram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بما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يساويها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BD7E19" w:rsidRPr="00A85E04" w:rsidRDefault="00BD7E19" w:rsidP="00BD7E19">
      <w:pPr>
        <w:bidi/>
        <w:ind w:left="36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A85E04">
        <w:rPr>
          <w:rFonts w:asciiTheme="majorBidi" w:hAnsiTheme="majorBidi" w:cstheme="majorBidi"/>
          <w:sz w:val="32"/>
          <w:szCs w:val="32"/>
          <w:lang w:bidi="ar-DZ"/>
        </w:rPr>
        <w:t>PIB=RS</w:t>
      </w:r>
      <w:proofErr w:type="gramStart"/>
      <w:r w:rsidRPr="00A85E04">
        <w:rPr>
          <w:rFonts w:asciiTheme="majorBidi" w:hAnsiTheme="majorBidi" w:cstheme="majorBidi"/>
          <w:sz w:val="32"/>
          <w:szCs w:val="32"/>
          <w:lang w:bidi="ar-DZ"/>
        </w:rPr>
        <w:t>+(</w:t>
      </w:r>
      <w:proofErr w:type="gramEnd"/>
      <w:r w:rsidRPr="00A85E04">
        <w:rPr>
          <w:rFonts w:asciiTheme="majorBidi" w:hAnsiTheme="majorBidi" w:cstheme="majorBidi"/>
          <w:sz w:val="32"/>
          <w:szCs w:val="32"/>
          <w:lang w:bidi="ar-DZ"/>
        </w:rPr>
        <w:t>ILP-SUB)+EBE+TVA+DTI</w:t>
      </w:r>
    </w:p>
    <w:p w:rsidR="00BD7E19" w:rsidRPr="00A85E04" w:rsidRDefault="00BD7E19" w:rsidP="00BD7E19">
      <w:pPr>
        <w:bidi/>
        <w:ind w:left="36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عندما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ندرج</w:t>
      </w:r>
      <w:r w:rsidRPr="00A85E04">
        <w:rPr>
          <w:rFonts w:asciiTheme="majorBidi" w:hAnsiTheme="majorBidi" w:cstheme="majorBidi"/>
          <w:sz w:val="32"/>
          <w:szCs w:val="32"/>
          <w:lang w:bidi="ar-DZ"/>
        </w:rPr>
        <w:t>TVA</w:t>
      </w:r>
      <w:r w:rsidR="000D52A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A85E04">
        <w:rPr>
          <w:rFonts w:asciiTheme="majorBidi" w:hAnsiTheme="majorBidi" w:cstheme="majorBidi"/>
          <w:sz w:val="32"/>
          <w:szCs w:val="32"/>
          <w:lang w:bidi="ar-DZ"/>
        </w:rPr>
        <w:t>DTI</w:t>
      </w:r>
      <w:proofErr w:type="gram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proofErr w:type="gramEnd"/>
      <w:r w:rsidRPr="00A85E04">
        <w:rPr>
          <w:rFonts w:asciiTheme="majorBidi" w:hAnsiTheme="majorBidi" w:cstheme="majorBidi"/>
          <w:sz w:val="32"/>
          <w:szCs w:val="32"/>
          <w:lang w:bidi="ar-DZ"/>
        </w:rPr>
        <w:t>ILP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يصبح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لدينا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BD7E19" w:rsidRPr="00137708" w:rsidRDefault="00BD7E19" w:rsidP="00BD7E19">
      <w:pPr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79D9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PIB=RS</w:t>
      </w:r>
      <w:proofErr w:type="gramStart"/>
      <w:r w:rsidRPr="006579D9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+(</w:t>
      </w:r>
      <w:proofErr w:type="gramEnd"/>
      <w:r w:rsidRPr="006579D9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ILP-SUB)+EBE</w:t>
      </w:r>
      <w:r w:rsidRPr="006579D9">
        <w:rPr>
          <w:rFonts w:ascii="Sakkal Majalla" w:hAnsi="Sakkal Majalla" w:cs="Sakkal Majalla"/>
          <w:b/>
          <w:bCs/>
          <w:sz w:val="32"/>
          <w:szCs w:val="32"/>
          <w:highlight w:val="lightGray"/>
          <w:lang w:bidi="ar-DZ"/>
        </w:rPr>
        <w:t xml:space="preserve"> =&gt;</w:t>
      </w:r>
      <w:r w:rsidRPr="006579D9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وهذه</w:t>
      </w:r>
      <w:r w:rsidR="000D52AB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6579D9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طريقة</w:t>
      </w:r>
      <w:r w:rsidR="000D52AB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6579D9">
        <w:rPr>
          <w:rFonts w:ascii="Sakkal Majalla" w:hAnsi="Sakkal Majalla" w:cs="Sakkal Majalla" w:hint="cs"/>
          <w:b/>
          <w:bCs/>
          <w:sz w:val="32"/>
          <w:szCs w:val="32"/>
          <w:highlight w:val="lightGray"/>
          <w:rtl/>
          <w:lang w:bidi="ar-DZ"/>
        </w:rPr>
        <w:t>التوزيع</w:t>
      </w:r>
    </w:p>
    <w:p w:rsidR="00BD7E19" w:rsidRPr="00A85E04" w:rsidRDefault="00BD7E19" w:rsidP="00BD7E19">
      <w:pPr>
        <w:bidi/>
        <w:ind w:left="360"/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85E04">
        <w:rPr>
          <w:rFonts w:asciiTheme="majorBidi" w:hAnsiTheme="majorBidi" w:cstheme="majorBidi"/>
          <w:sz w:val="32"/>
          <w:szCs w:val="32"/>
          <w:lang w:bidi="ar-DZ"/>
        </w:rPr>
        <w:t>PIB=RS</w:t>
      </w:r>
      <w:proofErr w:type="gramStart"/>
      <w:r w:rsidRPr="00A85E04">
        <w:rPr>
          <w:rFonts w:asciiTheme="majorBidi" w:hAnsiTheme="majorBidi" w:cstheme="majorBidi"/>
          <w:sz w:val="32"/>
          <w:szCs w:val="32"/>
          <w:lang w:bidi="ar-DZ"/>
        </w:rPr>
        <w:t>+(</w:t>
      </w:r>
      <w:proofErr w:type="gramEnd"/>
      <w:r w:rsidRPr="00A85E04">
        <w:rPr>
          <w:rFonts w:asciiTheme="majorBidi" w:hAnsiTheme="majorBidi" w:cstheme="majorBidi"/>
          <w:sz w:val="32"/>
          <w:szCs w:val="32"/>
          <w:lang w:bidi="ar-DZ"/>
        </w:rPr>
        <w:t>ILP-SUB)+ENE+CFF</w:t>
      </w:r>
    </w:p>
    <w:p w:rsidR="00BD7E19" w:rsidRPr="00A85E04" w:rsidRDefault="00BD7E19" w:rsidP="00BD7E19">
      <w:pPr>
        <w:bidi/>
        <w:ind w:left="360"/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85E04">
        <w:rPr>
          <w:rFonts w:asciiTheme="majorBidi" w:hAnsiTheme="majorBidi" w:cstheme="majorBidi"/>
          <w:sz w:val="32"/>
          <w:szCs w:val="32"/>
          <w:lang w:bidi="ar-DZ"/>
        </w:rPr>
        <w:t>PIN=RS</w:t>
      </w:r>
      <w:proofErr w:type="gramStart"/>
      <w:r w:rsidRPr="00A85E04">
        <w:rPr>
          <w:rFonts w:asciiTheme="majorBidi" w:hAnsiTheme="majorBidi" w:cstheme="majorBidi"/>
          <w:sz w:val="32"/>
          <w:szCs w:val="32"/>
          <w:lang w:bidi="ar-DZ"/>
        </w:rPr>
        <w:t>+(</w:t>
      </w:r>
      <w:proofErr w:type="gramEnd"/>
      <w:r w:rsidRPr="00A85E04">
        <w:rPr>
          <w:rFonts w:asciiTheme="majorBidi" w:hAnsiTheme="majorBidi" w:cstheme="majorBidi"/>
          <w:sz w:val="32"/>
          <w:szCs w:val="32"/>
          <w:lang w:bidi="ar-DZ"/>
        </w:rPr>
        <w:t>ILP-SUB)+ENE</w:t>
      </w:r>
    </w:p>
    <w:p w:rsidR="00BD7E19" w:rsidRPr="00A85E04" w:rsidRDefault="00BD7E19" w:rsidP="00BD7E19">
      <w:pPr>
        <w:pStyle w:val="Paragraphedeliste"/>
        <w:numPr>
          <w:ilvl w:val="0"/>
          <w:numId w:val="44"/>
        </w:num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6579D9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DZ"/>
        </w:rPr>
        <w:t>PIN=RI</w:t>
      </w:r>
    </w:p>
    <w:p w:rsidR="00BD7E19" w:rsidRDefault="00BD7E19" w:rsidP="00BD7E19">
      <w:pPr>
        <w:pStyle w:val="Paragraphedeliste"/>
        <w:numPr>
          <w:ilvl w:val="0"/>
          <w:numId w:val="4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85E0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الوطني</w:t>
      </w:r>
      <w:r w:rsidRPr="00A85E04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(Revenu National « RN </w:t>
      </w:r>
      <w:proofErr w:type="gramStart"/>
      <w:r w:rsidRPr="00A85E04">
        <w:rPr>
          <w:rFonts w:ascii="Sakkal Majalla" w:hAnsi="Sakkal Majalla" w:cs="Sakkal Majalla"/>
          <w:b/>
          <w:bCs/>
          <w:sz w:val="32"/>
          <w:szCs w:val="32"/>
          <w:lang w:bidi="ar-DZ"/>
        </w:rPr>
        <w:t>»)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BD7E19" w:rsidRPr="00A85E04" w:rsidRDefault="00BD7E19" w:rsidP="00BD7E19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يحسب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مجمع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مضافا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اليه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رصيد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التحويلات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المنتظمة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والى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العمال</w:t>
      </w:r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ومداخيل</w:t>
      </w:r>
      <w:proofErr w:type="spellEnd"/>
      <w:r w:rsidR="000D52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الملكيةالمؤسسة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D7E19" w:rsidRPr="00E9293C" w:rsidRDefault="00BD7E19" w:rsidP="00BD7E19">
      <w:pPr>
        <w:pStyle w:val="Paragraphedeliste"/>
        <w:numPr>
          <w:ilvl w:val="0"/>
          <w:numId w:val="48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9293C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bidi="ar-DZ"/>
        </w:rPr>
        <w:t>ملاحظة</w:t>
      </w:r>
      <w:r w:rsidRPr="00E9293C">
        <w:rPr>
          <w:rFonts w:ascii="Sakkal Majalla" w:hAnsi="Sakkal Majalla" w:cs="Sakkal Majalla"/>
          <w:i/>
          <w:iCs/>
          <w:sz w:val="32"/>
          <w:szCs w:val="32"/>
          <w:u w:val="single"/>
          <w:rtl/>
          <w:lang w:bidi="ar-DZ"/>
        </w:rPr>
        <w:t>: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تعتبر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المداخيل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منتظمة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لأنها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تحدث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باستمرار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اذيحول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والى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أجور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العمال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ومداخيل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المؤسسة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ومداخيل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الملكية</w:t>
      </w:r>
      <w:r w:rsidRPr="00E929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الكتب،العقارات،براءة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الاختراع،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الايجارات</w:t>
      </w:r>
      <w:proofErr w:type="spellEnd"/>
      <w:r w:rsidRPr="00E929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...)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،    وبالتالي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يحسب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كمايلي</w:t>
      </w:r>
      <w:proofErr w:type="spellEnd"/>
      <w:r w:rsidRPr="00E9293C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BD7E19" w:rsidRPr="00137708" w:rsidRDefault="00BD7E19" w:rsidP="00BD7E19">
      <w:pPr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9293C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DZ"/>
        </w:rPr>
        <w:lastRenderedPageBreak/>
        <w:t>RN</w:t>
      </w:r>
      <w:r w:rsidRPr="00E9293C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=RI+SS</w:t>
      </w:r>
      <w:r w:rsidRPr="00A85E04">
        <w:rPr>
          <w:rFonts w:asciiTheme="majorBidi" w:hAnsiTheme="majorBidi" w:cstheme="majorBidi"/>
          <w:sz w:val="32"/>
          <w:szCs w:val="32"/>
          <w:lang w:bidi="ar-DZ"/>
        </w:rPr>
        <w:t>/ SS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>=</w:t>
      </w:r>
      <w:r w:rsidRPr="00A85E04">
        <w:rPr>
          <w:rFonts w:ascii="Sakkal Majalla" w:hAnsi="Sakkal Majalla" w:cs="Sakkal Majalla"/>
          <w:sz w:val="32"/>
          <w:szCs w:val="32"/>
          <w:lang w:bidi="ar-DZ"/>
        </w:rPr>
        <w:t>&gt;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رصيد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تحويلات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منتظمة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</w:t>
      </w:r>
    </w:p>
    <w:p w:rsidR="00BD7E19" w:rsidRPr="00137708" w:rsidRDefault="00BD7E19" w:rsidP="00BD7E19">
      <w:pPr>
        <w:bidi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>3-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ab/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1377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المتاح</w:t>
      </w:r>
      <w:r w:rsidRPr="00137708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((Revenu National Disponible «  RND »</w:t>
      </w:r>
    </w:p>
    <w:p w:rsidR="00BD7E19" w:rsidRPr="00A85E04" w:rsidRDefault="00BD7E19" w:rsidP="00BD7E1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الأحيان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تتم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التحويلات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الظرفية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كالإعانات،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الكوارث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الطبيعية،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الاعانات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لأسباب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ثقافية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لابد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حساب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مجمع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جديد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وهو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المتاح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85E04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</w:p>
    <w:p w:rsidR="00BD7E19" w:rsidRPr="00E9293C" w:rsidRDefault="00BD7E19" w:rsidP="00BD7E19">
      <w:pPr>
        <w:pStyle w:val="Paragraphedeliste"/>
        <w:numPr>
          <w:ilvl w:val="0"/>
          <w:numId w:val="44"/>
        </w:numPr>
        <w:rPr>
          <w:rFonts w:ascii="Sakkal Majalla" w:hAnsi="Sakkal Majalla" w:cs="Sakkal Majalla"/>
          <w:sz w:val="32"/>
          <w:szCs w:val="32"/>
          <w:lang w:bidi="ar-DZ"/>
        </w:rPr>
      </w:pPr>
      <w:r w:rsidRPr="00E9293C">
        <w:rPr>
          <w:rFonts w:asciiTheme="majorBidi" w:hAnsiTheme="majorBidi" w:cstheme="majorBidi"/>
          <w:b/>
          <w:bCs/>
          <w:sz w:val="32"/>
          <w:szCs w:val="32"/>
          <w:highlight w:val="lightGray"/>
          <w:lang w:bidi="ar-DZ"/>
        </w:rPr>
        <w:t>RND</w:t>
      </w:r>
      <w:r w:rsidRPr="00E9293C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=RN+SAT /SAT</w:t>
      </w:r>
      <w:r w:rsidRPr="00E9293C">
        <w:rPr>
          <w:rFonts w:asciiTheme="majorBidi" w:hAnsiTheme="majorBidi" w:cstheme="majorBidi"/>
          <w:sz w:val="32"/>
          <w:szCs w:val="32"/>
          <w:lang w:bidi="ar-DZ"/>
        </w:rPr>
        <w:t>=</w:t>
      </w:r>
      <w:r w:rsidRPr="00E9293C">
        <w:rPr>
          <w:rFonts w:ascii="Sakkal Majalla" w:hAnsi="Sakkal Majalla" w:cs="Sakkal Majalla"/>
          <w:b/>
          <w:bCs/>
          <w:sz w:val="32"/>
          <w:szCs w:val="32"/>
          <w:lang w:bidi="ar-DZ"/>
        </w:rPr>
        <w:t>&gt;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رصيد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تحويلات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</w:p>
    <w:p w:rsidR="00BD7E19" w:rsidRPr="00A61993" w:rsidRDefault="00BD7E19" w:rsidP="00BD7E1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ثالثا: 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مجم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عات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نظام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SCN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":</w:t>
      </w:r>
    </w:p>
    <w:p w:rsidR="00BD7E19" w:rsidRPr="00E9293C" w:rsidRDefault="00BD7E19" w:rsidP="007049B0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للمقارنة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الدولية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نحتاج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حساب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مجمعات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النظام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الدولي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Pr="00A61993">
        <w:rPr>
          <w:rFonts w:ascii="Sakkal Majalla" w:hAnsi="Sakkal Majalla" w:cs="Sakkal Majalla"/>
          <w:sz w:val="32"/>
          <w:szCs w:val="32"/>
          <w:lang w:bidi="ar-DZ"/>
        </w:rPr>
        <w:t xml:space="preserve"> SCN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مجال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انتاجه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واسع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يأخذ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بعين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الاعتبار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القطاعات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المنتجة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تنقسم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مجمعات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sz w:val="32"/>
          <w:szCs w:val="32"/>
          <w:rtl/>
          <w:lang w:bidi="ar-DZ"/>
        </w:rPr>
        <w:t>قسمين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BD7E19" w:rsidRDefault="00BD7E19" w:rsidP="00BD7E19">
      <w:pPr>
        <w:pStyle w:val="Paragraphedeliste"/>
        <w:numPr>
          <w:ilvl w:val="0"/>
          <w:numId w:val="45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619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النقدي</w:t>
      </w:r>
      <w:r w:rsidRPr="00E9293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( Revenu National Monétaire « </w:t>
      </w:r>
      <w:proofErr w:type="gramStart"/>
      <w:r w:rsidRPr="00E9293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RNM)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</w:p>
    <w:p w:rsidR="00BD7E19" w:rsidRPr="00E9293C" w:rsidRDefault="00BD7E19" w:rsidP="00BD7E19">
      <w:pPr>
        <w:pStyle w:val="Paragraphedeliste"/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لهذا المجمع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نفس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معنى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نظام</w:t>
      </w:r>
      <w:r w:rsidRPr="00E9293C">
        <w:rPr>
          <w:rFonts w:ascii="Sakkal Majalla" w:hAnsi="Sakkal Majalla" w:cs="Sakkal Majalla"/>
          <w:sz w:val="32"/>
          <w:szCs w:val="32"/>
          <w:lang w:bidi="ar-DZ"/>
        </w:rPr>
        <w:t xml:space="preserve"> SCEA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يساوي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مضافا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اليه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الفروع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المنتجة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الأخذ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بعين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الاعتبار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عملية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التعديل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الغاء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بواقي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الاستهلاك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الوسيطي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الايجار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يحسب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E9293C">
        <w:rPr>
          <w:rFonts w:ascii="Sakkal Majalla" w:hAnsi="Sakkal Majalla" w:cs="Sakkal Majalla" w:hint="cs"/>
          <w:sz w:val="32"/>
          <w:szCs w:val="32"/>
          <w:rtl/>
          <w:lang w:bidi="ar-DZ"/>
        </w:rPr>
        <w:t>كمايلي</w:t>
      </w:r>
      <w:proofErr w:type="spellEnd"/>
      <w:r w:rsidRPr="00E9293C">
        <w:rPr>
          <w:rFonts w:ascii="Sakkal Majalla" w:hAnsi="Sakkal Majalla" w:cs="Sakkal Majalla"/>
          <w:sz w:val="32"/>
          <w:szCs w:val="32"/>
          <w:lang w:bidi="ar-DZ"/>
        </w:rPr>
        <w:t xml:space="preserve">: </w:t>
      </w:r>
    </w:p>
    <w:p w:rsidR="00BD7E19" w:rsidRPr="00497F9C" w:rsidRDefault="00BD7E19" w:rsidP="00BD7E19">
      <w:pPr>
        <w:pStyle w:val="Paragraphedeliste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03176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RNM=RN+</w:t>
      </w:r>
      <w:proofErr w:type="spellStart"/>
      <w:r w:rsidRPr="00C03176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RI</w:t>
      </w:r>
      <w:r w:rsidRPr="00C03176">
        <w:rPr>
          <w:rFonts w:asciiTheme="majorBidi" w:hAnsiTheme="majorBidi" w:cstheme="majorBidi"/>
          <w:sz w:val="32"/>
          <w:szCs w:val="32"/>
          <w:highlight w:val="lightGray"/>
          <w:vertAlign w:val="subscript"/>
          <w:lang w:bidi="ar-DZ"/>
        </w:rPr>
        <w:t>bnp</w:t>
      </w:r>
      <w:proofErr w:type="spellEnd"/>
      <w:r w:rsidRPr="00C03176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-</w:t>
      </w:r>
      <w:proofErr w:type="spellStart"/>
      <w:proofErr w:type="gramStart"/>
      <w:r w:rsidRPr="00C03176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SNP</w:t>
      </w:r>
      <w:r w:rsidRPr="00C03176">
        <w:rPr>
          <w:rFonts w:asciiTheme="majorBidi" w:hAnsiTheme="majorBidi" w:cstheme="majorBidi"/>
          <w:sz w:val="32"/>
          <w:szCs w:val="32"/>
          <w:highlight w:val="lightGray"/>
          <w:vertAlign w:val="subscript"/>
          <w:lang w:bidi="ar-DZ"/>
        </w:rPr>
        <w:t>bp</w:t>
      </w:r>
      <w:proofErr w:type="spellEnd"/>
      <w:r w:rsidRPr="00C03176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(</w:t>
      </w:r>
      <w:proofErr w:type="spellStart"/>
      <w:proofErr w:type="gramEnd"/>
      <w:r w:rsidRPr="00C03176">
        <w:rPr>
          <w:rFonts w:ascii="Sakkal Majalla" w:hAnsi="Sakkal Majalla" w:cs="Sakkal Majalla"/>
          <w:sz w:val="32"/>
          <w:szCs w:val="32"/>
          <w:highlight w:val="lightGray"/>
          <w:rtl/>
          <w:lang w:bidi="ar-DZ"/>
        </w:rPr>
        <w:t>الايجارات</w:t>
      </w:r>
      <w:proofErr w:type="spellEnd"/>
      <w:r w:rsidRPr="00C03176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)</w:t>
      </w:r>
    </w:p>
    <w:p w:rsidR="00BD7E19" w:rsidRDefault="00BD7E19" w:rsidP="00BD7E19">
      <w:pPr>
        <w:pStyle w:val="Paragraphedeliste"/>
        <w:bidi/>
        <w:jc w:val="center"/>
        <w:rPr>
          <w:rFonts w:asciiTheme="majorBidi" w:hAnsiTheme="majorBidi" w:cstheme="majorBidi"/>
          <w:sz w:val="32"/>
          <w:szCs w:val="32"/>
          <w:vertAlign w:val="subscript"/>
          <w:rtl/>
          <w:lang w:bidi="ar-DZ"/>
        </w:rPr>
      </w:pPr>
      <w:proofErr w:type="spellStart"/>
      <w:r w:rsidRPr="00497F9C">
        <w:rPr>
          <w:rFonts w:asciiTheme="majorBidi" w:hAnsiTheme="majorBidi" w:cstheme="majorBidi"/>
          <w:sz w:val="32"/>
          <w:szCs w:val="32"/>
          <w:lang w:bidi="ar-DZ"/>
        </w:rPr>
        <w:t>RI</w:t>
      </w:r>
      <w:r w:rsidRPr="00497F9C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bnp</w:t>
      </w:r>
      <w:proofErr w:type="spellEnd"/>
      <w:r w:rsidRPr="00497F9C">
        <w:rPr>
          <w:rFonts w:asciiTheme="majorBidi" w:hAnsiTheme="majorBidi" w:cstheme="majorBidi"/>
          <w:sz w:val="32"/>
          <w:szCs w:val="32"/>
          <w:lang w:bidi="ar-DZ"/>
        </w:rPr>
        <w:t>=</w:t>
      </w:r>
      <w:proofErr w:type="spellStart"/>
      <w:r w:rsidRPr="00497F9C">
        <w:rPr>
          <w:rFonts w:asciiTheme="majorBidi" w:hAnsiTheme="majorBidi" w:cstheme="majorBidi"/>
          <w:sz w:val="32"/>
          <w:szCs w:val="32"/>
          <w:lang w:bidi="ar-DZ"/>
        </w:rPr>
        <w:t>RS</w:t>
      </w:r>
      <w:r w:rsidRPr="00497F9C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bnp</w:t>
      </w:r>
      <w:proofErr w:type="spellEnd"/>
      <w:proofErr w:type="gramStart"/>
      <w:r w:rsidRPr="00497F9C">
        <w:rPr>
          <w:rFonts w:asciiTheme="majorBidi" w:hAnsiTheme="majorBidi" w:cstheme="majorBidi"/>
          <w:sz w:val="32"/>
          <w:szCs w:val="32"/>
          <w:lang w:bidi="ar-DZ"/>
        </w:rPr>
        <w:t>+(</w:t>
      </w:r>
      <w:proofErr w:type="gramEnd"/>
      <w:r w:rsidRPr="00497F9C">
        <w:rPr>
          <w:rFonts w:asciiTheme="majorBidi" w:hAnsiTheme="majorBidi" w:cstheme="majorBidi"/>
          <w:sz w:val="32"/>
          <w:szCs w:val="32"/>
          <w:lang w:bidi="ar-DZ"/>
        </w:rPr>
        <w:t xml:space="preserve">ILP-SUB) </w:t>
      </w:r>
      <w:proofErr w:type="spellStart"/>
      <w:r w:rsidRPr="00497F9C">
        <w:rPr>
          <w:rFonts w:asciiTheme="majorBidi" w:hAnsiTheme="majorBidi" w:cstheme="majorBidi"/>
          <w:sz w:val="32"/>
          <w:szCs w:val="32"/>
          <w:lang w:bidi="ar-DZ"/>
        </w:rPr>
        <w:t>bnp</w:t>
      </w:r>
      <w:proofErr w:type="spellEnd"/>
      <w:r w:rsidRPr="00497F9C">
        <w:rPr>
          <w:rFonts w:asciiTheme="majorBidi" w:hAnsiTheme="majorBidi" w:cstheme="majorBidi"/>
          <w:sz w:val="32"/>
          <w:szCs w:val="32"/>
          <w:lang w:bidi="ar-DZ"/>
        </w:rPr>
        <w:t>+</w:t>
      </w:r>
      <w:proofErr w:type="spellStart"/>
      <w:r w:rsidRPr="00497F9C">
        <w:rPr>
          <w:rFonts w:asciiTheme="majorBidi" w:hAnsiTheme="majorBidi" w:cstheme="majorBidi"/>
          <w:sz w:val="32"/>
          <w:szCs w:val="32"/>
          <w:lang w:bidi="ar-DZ"/>
        </w:rPr>
        <w:t>ENE</w:t>
      </w:r>
      <w:r w:rsidRPr="00497F9C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bnp</w:t>
      </w:r>
      <w:proofErr w:type="spellEnd"/>
    </w:p>
    <w:p w:rsidR="00BD7E19" w:rsidRDefault="00BD7E19" w:rsidP="00BD7E19">
      <w:pPr>
        <w:pStyle w:val="Paragraphedeliste"/>
        <w:bidi/>
        <w:jc w:val="center"/>
        <w:rPr>
          <w:rFonts w:asciiTheme="majorBidi" w:hAnsiTheme="majorBidi" w:cstheme="majorBidi"/>
          <w:sz w:val="32"/>
          <w:szCs w:val="32"/>
          <w:vertAlign w:val="subscript"/>
          <w:rtl/>
          <w:lang w:bidi="ar-DZ"/>
        </w:rPr>
      </w:pPr>
    </w:p>
    <w:p w:rsidR="00BD7E19" w:rsidRPr="00497F9C" w:rsidRDefault="00BD7E19" w:rsidP="00BD7E19">
      <w:pPr>
        <w:pStyle w:val="Paragraphedeliste"/>
        <w:numPr>
          <w:ilvl w:val="0"/>
          <w:numId w:val="45"/>
        </w:numPr>
        <w:bidi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497F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الدخل</w:t>
      </w:r>
      <w:proofErr w:type="gramEnd"/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497F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497F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النقدي</w:t>
      </w:r>
      <w:r w:rsidR="007049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497F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المتاح</w:t>
      </w:r>
      <w:r w:rsidRPr="00497F9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(Revenu National Monétaire Disponible « RNMD »):</w:t>
      </w:r>
    </w:p>
    <w:p w:rsidR="00BD7E19" w:rsidRPr="003E467C" w:rsidRDefault="00BD7E19" w:rsidP="007049B0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وله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نفس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معنى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النقدي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المتاح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نظام</w:t>
      </w:r>
      <w:r w:rsidR="007049B0">
        <w:rPr>
          <w:rFonts w:ascii="Sakkal Majalla" w:hAnsi="Sakkal Majalla" w:cs="Sakkal Majalla"/>
          <w:sz w:val="32"/>
          <w:szCs w:val="32"/>
          <w:lang w:bidi="ar-DZ"/>
        </w:rPr>
        <w:t xml:space="preserve"> SCEA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يساوي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النقدي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>ض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افا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اليه</w:t>
      </w:r>
      <w:proofErr w:type="spellEnd"/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تحويلات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جارية</w:t>
      </w:r>
      <w:r w:rsidR="007049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E467C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</w:p>
    <w:p w:rsidR="00BD7E19" w:rsidRPr="00497F9C" w:rsidRDefault="00BD7E19" w:rsidP="00BD7E19">
      <w:pPr>
        <w:pStyle w:val="Paragraphedeliste"/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3655EE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RNMD=RNM+</w:t>
      </w:r>
      <w:proofErr w:type="spellStart"/>
      <w:r w:rsidRPr="003655EE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SAt</w:t>
      </w:r>
      <w:proofErr w:type="spellEnd"/>
    </w:p>
    <w:p w:rsidR="00BD7E19" w:rsidRPr="003655EE" w:rsidRDefault="00BD7E19" w:rsidP="00BD7E19">
      <w:pPr>
        <w:pStyle w:val="Paragraphedeliste"/>
        <w:bidi/>
        <w:jc w:val="center"/>
        <w:rPr>
          <w:rFonts w:asciiTheme="majorBidi" w:hAnsiTheme="majorBidi" w:cstheme="majorBidi"/>
          <w:sz w:val="32"/>
          <w:szCs w:val="32"/>
          <w:vertAlign w:val="subscript"/>
          <w:rtl/>
          <w:lang w:bidi="ar-DZ"/>
        </w:rPr>
      </w:pPr>
      <w:r w:rsidRPr="003655EE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RNMD=RND+</w:t>
      </w:r>
      <w:proofErr w:type="spellStart"/>
      <w:r w:rsidRPr="003655EE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RI</w:t>
      </w:r>
      <w:r w:rsidRPr="003655EE">
        <w:rPr>
          <w:rFonts w:asciiTheme="majorBidi" w:hAnsiTheme="majorBidi" w:cstheme="majorBidi"/>
          <w:sz w:val="32"/>
          <w:szCs w:val="32"/>
          <w:highlight w:val="lightGray"/>
          <w:vertAlign w:val="subscript"/>
          <w:lang w:bidi="ar-DZ"/>
        </w:rPr>
        <w:t>bnp</w:t>
      </w:r>
      <w:proofErr w:type="spellEnd"/>
      <w:r w:rsidRPr="003655EE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-</w:t>
      </w:r>
      <w:proofErr w:type="spellStart"/>
      <w:r w:rsidRPr="003655EE">
        <w:rPr>
          <w:rFonts w:asciiTheme="majorBidi" w:hAnsiTheme="majorBidi" w:cstheme="majorBidi"/>
          <w:sz w:val="32"/>
          <w:szCs w:val="32"/>
          <w:highlight w:val="lightGray"/>
          <w:lang w:bidi="ar-DZ"/>
        </w:rPr>
        <w:t>SNP</w:t>
      </w:r>
      <w:r w:rsidRPr="003655EE">
        <w:rPr>
          <w:rFonts w:asciiTheme="majorBidi" w:hAnsiTheme="majorBidi" w:cstheme="majorBidi"/>
          <w:sz w:val="32"/>
          <w:szCs w:val="32"/>
          <w:highlight w:val="lightGray"/>
          <w:vertAlign w:val="subscript"/>
          <w:lang w:bidi="ar-DZ"/>
        </w:rPr>
        <w:t>bp</w:t>
      </w:r>
      <w:proofErr w:type="spellEnd"/>
    </w:p>
    <w:p w:rsidR="00BD7E19" w:rsidRPr="006C2D3C" w:rsidRDefault="00BD7E19" w:rsidP="00BD7E19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6C2D3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رابعا: تكوين الدخل و تخصيصه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في نظامي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SCEA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SCN</w:t>
      </w:r>
    </w:p>
    <w:p w:rsidR="00BD7E19" w:rsidRDefault="00BD7E19" w:rsidP="00BD7E19">
      <w:pPr>
        <w:pStyle w:val="Paragraphedeliste"/>
        <w:numPr>
          <w:ilvl w:val="0"/>
          <w:numId w:val="4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بالنسبة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لن</w:t>
      </w:r>
      <w:r w:rsidRPr="00D13D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ظام</w:t>
      </w:r>
      <w:r w:rsidRPr="00D13D3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SCEA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BD7E19" w:rsidRDefault="00BD7E19" w:rsidP="00BD7E1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يخصص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الدخل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الوطني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المتاح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استهلاك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للفروع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المنتجة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الادخار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الصافي،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الادخار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النظام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جزئي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الأنه</w:t>
      </w:r>
      <w:proofErr w:type="spellEnd"/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يأخذ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بعين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الاعتبار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ادخار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القطاعات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13D3B">
        <w:rPr>
          <w:rFonts w:ascii="Sakkal Majalla" w:hAnsi="Sakkal Majalla" w:cs="Sakkal Majalla" w:hint="cs"/>
          <w:sz w:val="32"/>
          <w:szCs w:val="32"/>
          <w:rtl/>
          <w:lang w:bidi="ar-DZ"/>
        </w:rPr>
        <w:t>المنتجة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و يمكن تلخيص ذلك  من خلال الجدول التالي : </w:t>
      </w:r>
    </w:p>
    <w:p w:rsidR="00BD7E19" w:rsidRDefault="00BD7E19" w:rsidP="00BD7E1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D7E19" w:rsidRPr="00D13D3B" w:rsidRDefault="00BD7E19" w:rsidP="00BD7E1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4632"/>
        <w:gridCol w:w="3936"/>
      </w:tblGrid>
      <w:tr w:rsidR="00BD7E19" w:rsidTr="001707BB">
        <w:tc>
          <w:tcPr>
            <w:tcW w:w="4632" w:type="dxa"/>
          </w:tcPr>
          <w:p w:rsidR="00BD7E19" w:rsidRDefault="00BD7E19" w:rsidP="001707B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E46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تكوين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3E46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</w:t>
            </w:r>
          </w:p>
        </w:tc>
        <w:tc>
          <w:tcPr>
            <w:tcW w:w="3936" w:type="dxa"/>
          </w:tcPr>
          <w:p w:rsidR="00BD7E19" w:rsidRDefault="00BD7E19" w:rsidP="001707BB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تخصيص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نظام</w:t>
            </w:r>
            <w:r w:rsidRPr="00766803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SCEA</w:t>
            </w:r>
            <w:r w:rsidRPr="007668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  <w:tr w:rsidR="00BD7E19" w:rsidTr="001707BB">
        <w:tc>
          <w:tcPr>
            <w:tcW w:w="4632" w:type="dxa"/>
          </w:tcPr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E467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RS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: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تعويضات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الأجراء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(</w:t>
            </w: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ILP-SUB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):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ضرائب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صافيةمن</w:t>
            </w:r>
            <w:proofErr w:type="spell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لاعانات</w:t>
            </w:r>
            <w:proofErr w:type="spellEnd"/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ENE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فائض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صافي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للاستغلال</w:t>
            </w:r>
          </w:p>
          <w:p w:rsidR="00BD7E19" w:rsidRPr="00766803" w:rsidRDefault="00BD7E19" w:rsidP="001707BB">
            <w:pPr>
              <w:pStyle w:val="Paragraphedelis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=</w:t>
            </w: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RI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proofErr w:type="gram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الدخل</w:t>
            </w:r>
            <w:proofErr w:type="gram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الداخلي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SS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رصيد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تحويلات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منتظمة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الى</w:t>
            </w:r>
            <w:proofErr w:type="spell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الخارج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bdr w:val="single" w:sz="4" w:space="0" w:color="auto"/>
                <w:rtl/>
                <w:lang w:bidi="ar-DZ"/>
              </w:rPr>
              <w:t xml:space="preserve">= </w:t>
            </w:r>
            <w:r w:rsidRPr="00766803">
              <w:rPr>
                <w:rFonts w:ascii="Sakkal Majalla" w:hAnsi="Sakkal Majalla" w:cs="Sakkal Majalla"/>
                <w:sz w:val="32"/>
                <w:szCs w:val="32"/>
                <w:bdr w:val="single" w:sz="4" w:space="0" w:color="auto"/>
                <w:lang w:bidi="ar-DZ"/>
              </w:rPr>
              <w:t>RN</w:t>
            </w:r>
            <w:r w:rsidRPr="00766803">
              <w:rPr>
                <w:rFonts w:ascii="Sakkal Majalla" w:hAnsi="Sakkal Majalla" w:cs="Sakkal Majalla"/>
                <w:sz w:val="32"/>
                <w:szCs w:val="32"/>
                <w:bdr w:val="single" w:sz="4" w:space="0" w:color="auto"/>
                <w:rtl/>
                <w:lang w:bidi="ar-DZ"/>
              </w:rPr>
              <w:t xml:space="preserve">: </w:t>
            </w:r>
            <w:proofErr w:type="gramStart"/>
            <w:r w:rsidRPr="00766803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>الدخل</w:t>
            </w:r>
            <w:proofErr w:type="gramEnd"/>
            <w:r w:rsidR="001707BB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>الوطني</w:t>
            </w:r>
          </w:p>
          <w:p w:rsidR="00BD7E19" w:rsidRPr="00766803" w:rsidRDefault="00BD7E19" w:rsidP="001707BB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</w:t>
            </w:r>
          </w:p>
          <w:p w:rsidR="00BD7E19" w:rsidRDefault="00BD7E19" w:rsidP="001707BB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SAT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رصيد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تحويلات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أخرى</w:t>
            </w:r>
          </w:p>
        </w:tc>
        <w:tc>
          <w:tcPr>
            <w:tcW w:w="3936" w:type="dxa"/>
          </w:tcPr>
          <w:p w:rsidR="00BD7E19" w:rsidRPr="00766803" w:rsidRDefault="00BD7E19" w:rsidP="001707BB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CF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استهلاك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الفروع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غير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الانتاجية</w:t>
            </w:r>
            <w:proofErr w:type="spell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(</w:t>
            </w:r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MEI</w:t>
            </w:r>
            <w:proofErr w:type="gramStart"/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,IF,AP</w:t>
            </w:r>
            <w:proofErr w:type="gramEnd"/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)</w:t>
            </w:r>
          </w:p>
          <w:p w:rsidR="00BD7E19" w:rsidRPr="00766803" w:rsidRDefault="00BD7E19" w:rsidP="001707BB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BD7E19" w:rsidRPr="00766803" w:rsidRDefault="00BD7E19" w:rsidP="001707BB">
            <w:pPr>
              <w:pStyle w:val="Paragraphedeliste"/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الرصيد</w:t>
            </w:r>
            <w:r w:rsidRPr="0076680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:</w:t>
            </w:r>
            <w:proofErr w:type="gramEnd"/>
            <w:r w:rsidRPr="0076680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ENP</w:t>
            </w:r>
          </w:p>
          <w:p w:rsidR="00BD7E19" w:rsidRDefault="00BD7E19" w:rsidP="001707B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الادخار</w:t>
            </w:r>
            <w:proofErr w:type="gram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الصافي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الجزئي</w:t>
            </w:r>
          </w:p>
        </w:tc>
      </w:tr>
      <w:tr w:rsidR="00BD7E19" w:rsidTr="001707BB">
        <w:tc>
          <w:tcPr>
            <w:tcW w:w="4632" w:type="dxa"/>
          </w:tcPr>
          <w:p w:rsidR="00BD7E19" w:rsidRDefault="00BD7E19" w:rsidP="001707B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66803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RND</w:t>
            </w:r>
            <w:r w:rsidRPr="007668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المتاح</w:t>
            </w:r>
          </w:p>
        </w:tc>
        <w:tc>
          <w:tcPr>
            <w:tcW w:w="3936" w:type="dxa"/>
          </w:tcPr>
          <w:p w:rsidR="00BD7E19" w:rsidRDefault="00BD7E19" w:rsidP="001707B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66803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RND</w:t>
            </w:r>
            <w:r w:rsidRPr="007668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7668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المتاح</w:t>
            </w:r>
          </w:p>
        </w:tc>
      </w:tr>
    </w:tbl>
    <w:p w:rsidR="00BD7E19" w:rsidRPr="00542F48" w:rsidRDefault="00BD7E19" w:rsidP="00BD7E19">
      <w:pPr>
        <w:pStyle w:val="Paragraphedeliste"/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D7E19" w:rsidRDefault="00BD7E19" w:rsidP="00BD7E19">
      <w:pPr>
        <w:pStyle w:val="Paragraphedeliste"/>
        <w:numPr>
          <w:ilvl w:val="0"/>
          <w:numId w:val="4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بالنسبة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</w:t>
      </w:r>
      <w:r w:rsidRPr="00D13D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نظام</w:t>
      </w:r>
      <w:r w:rsidRPr="00D13D3B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SCN: </w:t>
      </w:r>
    </w:p>
    <w:p w:rsidR="00BD7E19" w:rsidRPr="00B2564D" w:rsidRDefault="00BD7E19" w:rsidP="00BD7E19">
      <w:pPr>
        <w:bidi/>
        <w:ind w:left="72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2564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بنفس الطريقة نوضح في الجدول التالي كيفية تكوين الدخل و تخصيصه </w:t>
      </w:r>
      <w:proofErr w:type="gramStart"/>
      <w:r w:rsidRPr="00B2564D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proofErr w:type="gramEnd"/>
      <w:r w:rsidRPr="00B2564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نظام </w:t>
      </w:r>
      <w:r w:rsidRPr="00B2564D">
        <w:rPr>
          <w:rFonts w:ascii="Sakkal Majalla" w:hAnsi="Sakkal Majalla" w:cs="Sakkal Majalla"/>
          <w:sz w:val="32"/>
          <w:szCs w:val="32"/>
          <w:lang w:bidi="ar-DZ"/>
        </w:rPr>
        <w:t>SCN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BD7E19" w:rsidTr="001707BB">
        <w:tc>
          <w:tcPr>
            <w:tcW w:w="4606" w:type="dxa"/>
          </w:tcPr>
          <w:p w:rsidR="00BD7E19" w:rsidRDefault="00BD7E19" w:rsidP="001707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EF6D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تكوينالدخل</w:t>
            </w:r>
            <w:proofErr w:type="spellEnd"/>
          </w:p>
        </w:tc>
        <w:tc>
          <w:tcPr>
            <w:tcW w:w="4606" w:type="dxa"/>
          </w:tcPr>
          <w:p w:rsidR="00BD7E19" w:rsidRDefault="00BD7E19" w:rsidP="001707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تخصيصالدخل</w:t>
            </w:r>
            <w:proofErr w:type="spellEnd"/>
          </w:p>
        </w:tc>
      </w:tr>
      <w:tr w:rsidR="00BD7E19" w:rsidTr="001707BB">
        <w:tc>
          <w:tcPr>
            <w:tcW w:w="4606" w:type="dxa"/>
          </w:tcPr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RN</w:t>
            </w:r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الدخل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الوطني</w:t>
            </w:r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</w:t>
            </w:r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RI</w:t>
            </w:r>
            <w:r w:rsidRPr="003655EE">
              <w:rPr>
                <w:rFonts w:ascii="Sakkal Majalla" w:hAnsi="Sakkal Majalla" w:cs="Sakkal Majalla"/>
                <w:sz w:val="32"/>
                <w:szCs w:val="32"/>
                <w:vertAlign w:val="subscript"/>
                <w:lang w:bidi="ar-DZ"/>
              </w:rPr>
              <w:t>bnp</w:t>
            </w:r>
            <w:proofErr w:type="spellEnd"/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proofErr w:type="spellStart"/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المداخيل</w:t>
            </w:r>
            <w:proofErr w:type="spell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الأولية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للفروع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غيرالانتاجية</w:t>
            </w:r>
            <w:proofErr w:type="spellEnd"/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-</w:t>
            </w:r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SNPbp</w:t>
            </w:r>
            <w:proofErr w:type="spellEnd"/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الإيجارات</w:t>
            </w:r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= </w:t>
            </w:r>
            <w:r w:rsidRPr="008E5972">
              <w:rPr>
                <w:rFonts w:ascii="Sakkal Majalla" w:hAnsi="Sakkal Majalla" w:cs="Sakkal Majalla"/>
                <w:sz w:val="32"/>
                <w:szCs w:val="32"/>
                <w:bdr w:val="single" w:sz="4" w:space="0" w:color="auto"/>
                <w:lang w:bidi="ar-DZ"/>
              </w:rPr>
              <w:t>RNM</w:t>
            </w:r>
            <w:r w:rsidRPr="008E5972">
              <w:rPr>
                <w:rFonts w:ascii="Sakkal Majalla" w:hAnsi="Sakkal Majalla" w:cs="Sakkal Majalla"/>
                <w:sz w:val="32"/>
                <w:szCs w:val="32"/>
                <w:bdr w:val="single" w:sz="4" w:space="0" w:color="auto"/>
                <w:rtl/>
                <w:lang w:bidi="ar-DZ"/>
              </w:rPr>
              <w:t xml:space="preserve">: </w:t>
            </w:r>
            <w:proofErr w:type="gramStart"/>
            <w:r w:rsidRPr="008E5972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>الدخل</w:t>
            </w:r>
            <w:proofErr w:type="gramEnd"/>
            <w:r w:rsidR="001707BB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>الوطني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bdr w:val="single" w:sz="4" w:space="0" w:color="auto"/>
                <w:rtl/>
                <w:lang w:bidi="ar-DZ"/>
              </w:rPr>
              <w:t>النقدي</w:t>
            </w:r>
          </w:p>
          <w:p w:rsidR="00BD7E19" w:rsidRPr="008E5972" w:rsidRDefault="00BD7E19" w:rsidP="001707B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+</w:t>
            </w:r>
          </w:p>
          <w:p w:rsidR="00BD7E19" w:rsidRDefault="00BD7E19" w:rsidP="001707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SAT</w:t>
            </w:r>
            <w:r w:rsidRPr="008E597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: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رصيد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تحويلات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أخرى</w:t>
            </w:r>
          </w:p>
        </w:tc>
        <w:tc>
          <w:tcPr>
            <w:tcW w:w="4606" w:type="dxa"/>
          </w:tcPr>
          <w:p w:rsidR="00BD7E19" w:rsidRPr="008E5972" w:rsidRDefault="00BD7E19" w:rsidP="001707BB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 xml:space="preserve">CF: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استهلاك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الفروع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غير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الانتاجية</w:t>
            </w:r>
            <w:proofErr w:type="spellEnd"/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(</w:t>
            </w:r>
            <w:proofErr w:type="gramEnd"/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MEI,IF,AP) </w:t>
            </w:r>
          </w:p>
          <w:p w:rsidR="00BD7E19" w:rsidRPr="008E5972" w:rsidRDefault="00BD7E19" w:rsidP="001707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BD7E19" w:rsidRPr="008E5972" w:rsidRDefault="00BD7E19" w:rsidP="001707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BD7E19" w:rsidRDefault="00BD7E19" w:rsidP="001707BB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الرصيد</w:t>
            </w:r>
            <w:r w:rsidRPr="008E597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ENG 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الادخار</w:t>
            </w:r>
            <w:proofErr w:type="gramEnd"/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الصافي</w:t>
            </w:r>
            <w:r w:rsidR="001707B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الكلي</w:t>
            </w:r>
          </w:p>
        </w:tc>
      </w:tr>
      <w:tr w:rsidR="00BD7E19" w:rsidTr="001707BB">
        <w:tc>
          <w:tcPr>
            <w:tcW w:w="4606" w:type="dxa"/>
          </w:tcPr>
          <w:p w:rsidR="00BD7E19" w:rsidRDefault="00BD7E19" w:rsidP="001707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5972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RNMD</w:t>
            </w:r>
            <w:r w:rsidRPr="008E597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النقدي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المتاح</w:t>
            </w:r>
          </w:p>
        </w:tc>
        <w:tc>
          <w:tcPr>
            <w:tcW w:w="4606" w:type="dxa"/>
          </w:tcPr>
          <w:p w:rsidR="00BD7E19" w:rsidRDefault="00BD7E19" w:rsidP="001707B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5972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RNMD</w:t>
            </w:r>
            <w:r w:rsidRPr="008E597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الدخل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الوطني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النقدي</w:t>
            </w:r>
            <w:r w:rsidR="001707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E59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المتاح</w:t>
            </w:r>
          </w:p>
        </w:tc>
      </w:tr>
    </w:tbl>
    <w:p w:rsidR="00BD7E19" w:rsidRPr="008E5972" w:rsidRDefault="00BD7E19" w:rsidP="00BD7E1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D7E19" w:rsidRPr="008E5972" w:rsidRDefault="00BD7E19" w:rsidP="00BD7E1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رصيد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الجدول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ينيعبر</w:t>
      </w:r>
      <w:proofErr w:type="spellEnd"/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الادخار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الصافي،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الجدول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كون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الادخار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جزئيا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لأنه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يأخذ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بعين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الاعتبار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القطاعات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غيرالمنتجة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D7E19" w:rsidRDefault="00BD7E19" w:rsidP="00BD7E1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spellStart"/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أمافي</w:t>
      </w:r>
      <w:proofErr w:type="spellEnd"/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الجدول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كون</w:t>
      </w:r>
      <w:r w:rsidR="001707B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الادخار</w:t>
      </w:r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الصافي</w:t>
      </w:r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الكلي</w:t>
      </w:r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لأنه</w:t>
      </w:r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يحسب</w:t>
      </w:r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مداخيل</w:t>
      </w:r>
      <w:proofErr w:type="spellEnd"/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="0099633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E5972">
        <w:rPr>
          <w:rFonts w:ascii="Sakkal Majalla" w:hAnsi="Sakkal Majalla" w:cs="Sakkal Majalla" w:hint="cs"/>
          <w:sz w:val="32"/>
          <w:szCs w:val="32"/>
          <w:rtl/>
          <w:lang w:bidi="ar-DZ"/>
        </w:rPr>
        <w:t>القطاعات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sectPr w:rsidR="00BD7E19" w:rsidSect="00233E3F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2C"/>
    <w:multiLevelType w:val="hybridMultilevel"/>
    <w:tmpl w:val="5F7C7AC4"/>
    <w:lvl w:ilvl="0" w:tplc="C1C409D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80991"/>
    <w:multiLevelType w:val="hybridMultilevel"/>
    <w:tmpl w:val="5308D7A2"/>
    <w:lvl w:ilvl="0" w:tplc="7B8C4514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47D20"/>
    <w:multiLevelType w:val="hybridMultilevel"/>
    <w:tmpl w:val="BDBC8804"/>
    <w:lvl w:ilvl="0" w:tplc="30A0DD2E">
      <w:numFmt w:val="bullet"/>
      <w:lvlText w:val="-"/>
      <w:lvlJc w:val="left"/>
      <w:pPr>
        <w:ind w:left="927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5F07956"/>
    <w:multiLevelType w:val="hybridMultilevel"/>
    <w:tmpl w:val="7890923E"/>
    <w:lvl w:ilvl="0" w:tplc="74F0A704">
      <w:start w:val="1"/>
      <w:numFmt w:val="bullet"/>
      <w:lvlText w:val="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55E0E"/>
    <w:multiLevelType w:val="hybridMultilevel"/>
    <w:tmpl w:val="E84A2246"/>
    <w:lvl w:ilvl="0" w:tplc="7B8C4514">
      <w:start w:val="1"/>
      <w:numFmt w:val="bullet"/>
      <w:lvlText w:val="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AC0CAF"/>
    <w:multiLevelType w:val="hybridMultilevel"/>
    <w:tmpl w:val="8C7ACB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85488"/>
    <w:multiLevelType w:val="hybridMultilevel"/>
    <w:tmpl w:val="C9484726"/>
    <w:lvl w:ilvl="0" w:tplc="E3BADAD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A0331"/>
    <w:multiLevelType w:val="hybridMultilevel"/>
    <w:tmpl w:val="533A526E"/>
    <w:lvl w:ilvl="0" w:tplc="D040BF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E0AC6"/>
    <w:multiLevelType w:val="hybridMultilevel"/>
    <w:tmpl w:val="DB56F8F8"/>
    <w:lvl w:ilvl="0" w:tplc="CEFC4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164C4"/>
    <w:multiLevelType w:val="hybridMultilevel"/>
    <w:tmpl w:val="14704E22"/>
    <w:lvl w:ilvl="0" w:tplc="FD92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47784"/>
    <w:multiLevelType w:val="hybridMultilevel"/>
    <w:tmpl w:val="66C0690E"/>
    <w:lvl w:ilvl="0" w:tplc="7B8C4514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D2B7D"/>
    <w:multiLevelType w:val="hybridMultilevel"/>
    <w:tmpl w:val="1D188368"/>
    <w:lvl w:ilvl="0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CC103D"/>
    <w:multiLevelType w:val="hybridMultilevel"/>
    <w:tmpl w:val="FBD026C6"/>
    <w:lvl w:ilvl="0" w:tplc="5F7C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D202B"/>
    <w:multiLevelType w:val="hybridMultilevel"/>
    <w:tmpl w:val="80B05654"/>
    <w:lvl w:ilvl="0" w:tplc="F7C00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27D9F"/>
    <w:multiLevelType w:val="hybridMultilevel"/>
    <w:tmpl w:val="13D64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33AFD"/>
    <w:multiLevelType w:val="hybridMultilevel"/>
    <w:tmpl w:val="8ADCA3B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F67C46"/>
    <w:multiLevelType w:val="hybridMultilevel"/>
    <w:tmpl w:val="5B74E7BA"/>
    <w:lvl w:ilvl="0" w:tplc="3146CB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D4E35"/>
    <w:multiLevelType w:val="hybridMultilevel"/>
    <w:tmpl w:val="F32EBC1E"/>
    <w:lvl w:ilvl="0" w:tplc="69848A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8866972">
      <w:start w:val="1"/>
      <w:numFmt w:val="decimal"/>
      <w:lvlText w:val="%2-"/>
      <w:lvlJc w:val="left"/>
      <w:pPr>
        <w:ind w:left="1785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1B83"/>
    <w:multiLevelType w:val="hybridMultilevel"/>
    <w:tmpl w:val="311A1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010FD"/>
    <w:multiLevelType w:val="hybridMultilevel"/>
    <w:tmpl w:val="947A86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4678C"/>
    <w:multiLevelType w:val="hybridMultilevel"/>
    <w:tmpl w:val="4ECC7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47413"/>
    <w:multiLevelType w:val="hybridMultilevel"/>
    <w:tmpl w:val="79620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94744"/>
    <w:multiLevelType w:val="hybridMultilevel"/>
    <w:tmpl w:val="75408DF0"/>
    <w:lvl w:ilvl="0" w:tplc="4B9CFDAC">
      <w:start w:val="1"/>
      <w:numFmt w:val="bullet"/>
      <w:lvlText w:val="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1B0583"/>
    <w:multiLevelType w:val="hybridMultilevel"/>
    <w:tmpl w:val="57A016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6C4C77"/>
    <w:multiLevelType w:val="hybridMultilevel"/>
    <w:tmpl w:val="79842A62"/>
    <w:lvl w:ilvl="0" w:tplc="2C400A7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B36F3F"/>
    <w:multiLevelType w:val="hybridMultilevel"/>
    <w:tmpl w:val="CDAE002A"/>
    <w:lvl w:ilvl="0" w:tplc="EA8CA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60425"/>
    <w:multiLevelType w:val="hybridMultilevel"/>
    <w:tmpl w:val="7C7C2210"/>
    <w:lvl w:ilvl="0" w:tplc="4B9CFDAC">
      <w:start w:val="1"/>
      <w:numFmt w:val="bullet"/>
      <w:lvlText w:val="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3A0C22EA"/>
    <w:multiLevelType w:val="hybridMultilevel"/>
    <w:tmpl w:val="A98865E4"/>
    <w:lvl w:ilvl="0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5A2B86"/>
    <w:multiLevelType w:val="hybridMultilevel"/>
    <w:tmpl w:val="F8AEC62E"/>
    <w:lvl w:ilvl="0" w:tplc="869EED86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93200B"/>
    <w:multiLevelType w:val="hybridMultilevel"/>
    <w:tmpl w:val="F0F0D824"/>
    <w:lvl w:ilvl="0" w:tplc="A7060C1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D014D"/>
    <w:multiLevelType w:val="hybridMultilevel"/>
    <w:tmpl w:val="2666A480"/>
    <w:lvl w:ilvl="0" w:tplc="04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>
    <w:nsid w:val="49EA4DC4"/>
    <w:multiLevelType w:val="hybridMultilevel"/>
    <w:tmpl w:val="B16AC3D4"/>
    <w:lvl w:ilvl="0" w:tplc="4B9CFDAC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E93C26"/>
    <w:multiLevelType w:val="hybridMultilevel"/>
    <w:tmpl w:val="7228F2D8"/>
    <w:lvl w:ilvl="0" w:tplc="869EED86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754199"/>
    <w:multiLevelType w:val="hybridMultilevel"/>
    <w:tmpl w:val="A0346E58"/>
    <w:lvl w:ilvl="0" w:tplc="4B9CFDAC">
      <w:start w:val="1"/>
      <w:numFmt w:val="bullet"/>
      <w:lvlText w:val="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DA20D3E"/>
    <w:multiLevelType w:val="hybridMultilevel"/>
    <w:tmpl w:val="3F784BEC"/>
    <w:lvl w:ilvl="0" w:tplc="C4EE8E8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972C4"/>
    <w:multiLevelType w:val="hybridMultilevel"/>
    <w:tmpl w:val="58B80022"/>
    <w:lvl w:ilvl="0" w:tplc="74F0A704">
      <w:start w:val="1"/>
      <w:numFmt w:val="bullet"/>
      <w:lvlText w:val="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7A33F19"/>
    <w:multiLevelType w:val="hybridMultilevel"/>
    <w:tmpl w:val="A0B6CE9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7BC165E"/>
    <w:multiLevelType w:val="hybridMultilevel"/>
    <w:tmpl w:val="75EC6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274DB"/>
    <w:multiLevelType w:val="hybridMultilevel"/>
    <w:tmpl w:val="8F1CC84E"/>
    <w:lvl w:ilvl="0" w:tplc="6CBAB1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64AE3"/>
    <w:multiLevelType w:val="hybridMultilevel"/>
    <w:tmpl w:val="D360923C"/>
    <w:lvl w:ilvl="0" w:tplc="325A0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C47DC"/>
    <w:multiLevelType w:val="hybridMultilevel"/>
    <w:tmpl w:val="9746F412"/>
    <w:lvl w:ilvl="0" w:tplc="2C400A7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8B0EC3"/>
    <w:multiLevelType w:val="hybridMultilevel"/>
    <w:tmpl w:val="FA9A9F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3739AE"/>
    <w:multiLevelType w:val="hybridMultilevel"/>
    <w:tmpl w:val="194AB3E4"/>
    <w:lvl w:ilvl="0" w:tplc="4B9CFDAC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396B96"/>
    <w:multiLevelType w:val="hybridMultilevel"/>
    <w:tmpl w:val="4EA21246"/>
    <w:lvl w:ilvl="0" w:tplc="464E8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F84D19"/>
    <w:multiLevelType w:val="hybridMultilevel"/>
    <w:tmpl w:val="D4CE8BD2"/>
    <w:lvl w:ilvl="0" w:tplc="313069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595314"/>
    <w:multiLevelType w:val="hybridMultilevel"/>
    <w:tmpl w:val="EA9871EE"/>
    <w:lvl w:ilvl="0" w:tplc="3BA20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8227D9"/>
    <w:multiLevelType w:val="hybridMultilevel"/>
    <w:tmpl w:val="51546486"/>
    <w:lvl w:ilvl="0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74F0A70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305CD"/>
    <w:multiLevelType w:val="hybridMultilevel"/>
    <w:tmpl w:val="3C8AEDBA"/>
    <w:lvl w:ilvl="0" w:tplc="7B8C4514">
      <w:start w:val="1"/>
      <w:numFmt w:val="bullet"/>
      <w:lvlText w:val="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8AD61D6"/>
    <w:multiLevelType w:val="hybridMultilevel"/>
    <w:tmpl w:val="AB2C4CFE"/>
    <w:lvl w:ilvl="0" w:tplc="63DA33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47"/>
  </w:num>
  <w:num w:numId="4">
    <w:abstractNumId w:val="12"/>
  </w:num>
  <w:num w:numId="5">
    <w:abstractNumId w:val="26"/>
  </w:num>
  <w:num w:numId="6">
    <w:abstractNumId w:val="34"/>
  </w:num>
  <w:num w:numId="7">
    <w:abstractNumId w:val="24"/>
  </w:num>
  <w:num w:numId="8">
    <w:abstractNumId w:val="37"/>
  </w:num>
  <w:num w:numId="9">
    <w:abstractNumId w:val="25"/>
  </w:num>
  <w:num w:numId="10">
    <w:abstractNumId w:val="22"/>
  </w:num>
  <w:num w:numId="11">
    <w:abstractNumId w:val="28"/>
  </w:num>
  <w:num w:numId="12">
    <w:abstractNumId w:val="32"/>
  </w:num>
  <w:num w:numId="13">
    <w:abstractNumId w:val="33"/>
  </w:num>
  <w:num w:numId="14">
    <w:abstractNumId w:val="15"/>
  </w:num>
  <w:num w:numId="15">
    <w:abstractNumId w:val="36"/>
  </w:num>
  <w:num w:numId="16">
    <w:abstractNumId w:val="11"/>
  </w:num>
  <w:num w:numId="17">
    <w:abstractNumId w:val="42"/>
  </w:num>
  <w:num w:numId="18">
    <w:abstractNumId w:val="20"/>
  </w:num>
  <w:num w:numId="19">
    <w:abstractNumId w:val="44"/>
  </w:num>
  <w:num w:numId="20">
    <w:abstractNumId w:val="14"/>
  </w:num>
  <w:num w:numId="21">
    <w:abstractNumId w:val="23"/>
  </w:num>
  <w:num w:numId="22">
    <w:abstractNumId w:val="9"/>
  </w:num>
  <w:num w:numId="23">
    <w:abstractNumId w:val="45"/>
  </w:num>
  <w:num w:numId="24">
    <w:abstractNumId w:val="5"/>
  </w:num>
  <w:num w:numId="25">
    <w:abstractNumId w:val="46"/>
  </w:num>
  <w:num w:numId="26">
    <w:abstractNumId w:val="27"/>
  </w:num>
  <w:num w:numId="27">
    <w:abstractNumId w:val="6"/>
  </w:num>
  <w:num w:numId="28">
    <w:abstractNumId w:val="2"/>
  </w:num>
  <w:num w:numId="29">
    <w:abstractNumId w:val="1"/>
  </w:num>
  <w:num w:numId="30">
    <w:abstractNumId w:val="41"/>
  </w:num>
  <w:num w:numId="31">
    <w:abstractNumId w:val="30"/>
  </w:num>
  <w:num w:numId="32">
    <w:abstractNumId w:val="0"/>
  </w:num>
  <w:num w:numId="33">
    <w:abstractNumId w:val="3"/>
  </w:num>
  <w:num w:numId="34">
    <w:abstractNumId w:val="35"/>
  </w:num>
  <w:num w:numId="35">
    <w:abstractNumId w:val="10"/>
  </w:num>
  <w:num w:numId="36">
    <w:abstractNumId w:val="21"/>
  </w:num>
  <w:num w:numId="37">
    <w:abstractNumId w:val="16"/>
  </w:num>
  <w:num w:numId="38">
    <w:abstractNumId w:val="48"/>
  </w:num>
  <w:num w:numId="39">
    <w:abstractNumId w:val="8"/>
  </w:num>
  <w:num w:numId="40">
    <w:abstractNumId w:val="17"/>
  </w:num>
  <w:num w:numId="41">
    <w:abstractNumId w:val="39"/>
  </w:num>
  <w:num w:numId="42">
    <w:abstractNumId w:val="19"/>
  </w:num>
  <w:num w:numId="43">
    <w:abstractNumId w:val="29"/>
  </w:num>
  <w:num w:numId="44">
    <w:abstractNumId w:val="40"/>
  </w:num>
  <w:num w:numId="45">
    <w:abstractNumId w:val="7"/>
  </w:num>
  <w:num w:numId="46">
    <w:abstractNumId w:val="4"/>
  </w:num>
  <w:num w:numId="47">
    <w:abstractNumId w:val="13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5D34"/>
    <w:rsid w:val="000D52AB"/>
    <w:rsid w:val="0011339F"/>
    <w:rsid w:val="001707BB"/>
    <w:rsid w:val="0018768A"/>
    <w:rsid w:val="0018779E"/>
    <w:rsid w:val="00233E3F"/>
    <w:rsid w:val="002D24EE"/>
    <w:rsid w:val="00357C43"/>
    <w:rsid w:val="004D5C73"/>
    <w:rsid w:val="00605D22"/>
    <w:rsid w:val="006F5DF8"/>
    <w:rsid w:val="007049B0"/>
    <w:rsid w:val="009076B0"/>
    <w:rsid w:val="00996336"/>
    <w:rsid w:val="00B15D34"/>
    <w:rsid w:val="00B80E98"/>
    <w:rsid w:val="00BD7E19"/>
    <w:rsid w:val="00D16942"/>
    <w:rsid w:val="00E13A44"/>
    <w:rsid w:val="00F2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D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D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D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D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omm</cp:lastModifiedBy>
  <cp:revision>3</cp:revision>
  <dcterms:created xsi:type="dcterms:W3CDTF">2021-11-07T13:15:00Z</dcterms:created>
  <dcterms:modified xsi:type="dcterms:W3CDTF">2021-11-07T13:49:00Z</dcterms:modified>
</cp:coreProperties>
</file>