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A" w:rsidRPr="00E10926" w:rsidRDefault="0059491A" w:rsidP="0059491A">
      <w:pPr>
        <w:bidi/>
        <w:jc w:val="center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-122555</wp:posOffset>
                </wp:positionV>
                <wp:extent cx="1805940" cy="468630"/>
                <wp:effectExtent l="13970" t="8890" r="889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1A" w:rsidRPr="00E10926" w:rsidRDefault="0059491A" w:rsidP="0059491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1092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الملحق رقم: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01.5pt;margin-top:-9.65pt;width:142.2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">
                <v:textbox>
                  <w:txbxContent>
                    <w:p w:rsidR="0059491A" w:rsidRPr="00E10926" w:rsidRDefault="0059491A" w:rsidP="0059491A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1092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الملحق رقم: 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0"/>
          <w:szCs w:val="40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-122555</wp:posOffset>
                </wp:positionV>
                <wp:extent cx="2336800" cy="468630"/>
                <wp:effectExtent l="13335" t="8890" r="1206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1A" w:rsidRPr="00E10926" w:rsidRDefault="0059491A" w:rsidP="0059491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092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أستاذ المقياس: </w:t>
                            </w:r>
                            <w:proofErr w:type="spellStart"/>
                            <w:r w:rsidRPr="00E1092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د.فؤاد</w:t>
                            </w:r>
                            <w:proofErr w:type="spellEnd"/>
                            <w:r w:rsidRPr="00E1092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بن حدو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43.55pt;margin-top:-9.65pt;width:184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">
                <v:textbox>
                  <w:txbxContent>
                    <w:p w:rsidR="0059491A" w:rsidRPr="00E10926" w:rsidRDefault="0059491A" w:rsidP="0059491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092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أستاذ المقياس: </w:t>
                      </w:r>
                      <w:proofErr w:type="spellStart"/>
                      <w:r w:rsidRPr="00E1092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د.فؤاد</w:t>
                      </w:r>
                      <w:proofErr w:type="spellEnd"/>
                      <w:r w:rsidRPr="00E1092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بن حدو </w:t>
                      </w:r>
                    </w:p>
                  </w:txbxContent>
                </v:textbox>
              </v:rect>
            </w:pict>
          </mc:Fallback>
        </mc:AlternateContent>
      </w:r>
      <w:r w:rsidRPr="00E10926">
        <w:rPr>
          <w:rFonts w:cs="AdvertisingBold" w:hint="cs"/>
          <w:b/>
          <w:bCs/>
          <w:sz w:val="40"/>
          <w:szCs w:val="40"/>
          <w:u w:val="single"/>
          <w:rtl/>
        </w:rPr>
        <w:t xml:space="preserve">النسب المالية </w:t>
      </w:r>
      <w:proofErr w:type="gramStart"/>
      <w:r w:rsidRPr="00E10926">
        <w:rPr>
          <w:rFonts w:cs="AdvertisingBold" w:hint="cs"/>
          <w:b/>
          <w:bCs/>
          <w:sz w:val="40"/>
          <w:szCs w:val="40"/>
          <w:u w:val="single"/>
          <w:rtl/>
        </w:rPr>
        <w:t>وفق</w:t>
      </w:r>
      <w:proofErr w:type="gramEnd"/>
      <w:r w:rsidRPr="00E10926">
        <w:rPr>
          <w:rFonts w:cs="AdvertisingBold" w:hint="cs"/>
          <w:b/>
          <w:bCs/>
          <w:sz w:val="40"/>
          <w:szCs w:val="40"/>
          <w:u w:val="single"/>
          <w:rtl/>
        </w:rPr>
        <w:t xml:space="preserve"> منظور: السيولة/ الاستحقاق</w:t>
      </w:r>
    </w:p>
    <w:tbl>
      <w:tblPr>
        <w:tblStyle w:val="Grilledutableau"/>
        <w:bidiVisual/>
        <w:tblW w:w="5583" w:type="pct"/>
        <w:tblInd w:w="-914" w:type="dxa"/>
        <w:tblLook w:val="04A0" w:firstRow="1" w:lastRow="0" w:firstColumn="1" w:lastColumn="0" w:noHBand="0" w:noVBand="1"/>
      </w:tblPr>
      <w:tblGrid>
        <w:gridCol w:w="1842"/>
        <w:gridCol w:w="2979"/>
        <w:gridCol w:w="4817"/>
        <w:gridCol w:w="6240"/>
      </w:tblGrid>
      <w:tr w:rsidR="0059491A" w:rsidTr="002329E9">
        <w:tc>
          <w:tcPr>
            <w:tcW w:w="580" w:type="pct"/>
            <w:shd w:val="clear" w:color="auto" w:fill="F2F2F2" w:themeFill="background1" w:themeFillShade="F2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 النسبة</w:t>
            </w:r>
          </w:p>
        </w:tc>
        <w:tc>
          <w:tcPr>
            <w:tcW w:w="938" w:type="pct"/>
            <w:shd w:val="clear" w:color="auto" w:fill="F2F2F2" w:themeFill="background1" w:themeFillShade="F2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أسم  المؤشر</w:t>
            </w:r>
          </w:p>
        </w:tc>
        <w:tc>
          <w:tcPr>
            <w:tcW w:w="1517" w:type="pct"/>
            <w:shd w:val="clear" w:color="auto" w:fill="F2F2F2" w:themeFill="background1" w:themeFillShade="F2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الصي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ّ</w:t>
            </w:r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غة</w:t>
            </w:r>
            <w:proofErr w:type="gramEnd"/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الرياضيّة</w:t>
            </w:r>
          </w:p>
        </w:tc>
        <w:tc>
          <w:tcPr>
            <w:tcW w:w="1965" w:type="pct"/>
            <w:shd w:val="clear" w:color="auto" w:fill="F2F2F2" w:themeFill="background1" w:themeFillShade="F2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مدلول</w:t>
            </w:r>
            <w:proofErr w:type="gramEnd"/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المؤشر</w:t>
            </w:r>
          </w:p>
        </w:tc>
      </w:tr>
      <w:tr w:rsidR="0059491A" w:rsidTr="002329E9">
        <w:tc>
          <w:tcPr>
            <w:tcW w:w="580" w:type="pct"/>
            <w:vMerge w:val="restart"/>
            <w:vAlign w:val="center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</w:rPr>
            </w:pPr>
            <w:proofErr w:type="gramStart"/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نسبة</w:t>
            </w:r>
            <w:proofErr w:type="gramEnd"/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السيولة</w:t>
            </w: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</w:rPr>
              <w:t>نسبة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</w:rPr>
              <w:t xml:space="preserve"> السيولة العامة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 ( التداول)</w:t>
            </w:r>
          </w:p>
        </w:tc>
        <w:tc>
          <w:tcPr>
            <w:tcW w:w="1517" w:type="pct"/>
            <w:vAlign w:val="center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الجارية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الخصوم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الجارية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)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100×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تقيس مدى </w:t>
            </w:r>
            <w:proofErr w:type="gramStart"/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قدرة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المؤسسة على سداد التزاماتها الجارية (قصيرة الأجل) من أصولها الجارية.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ويجب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أن تكون أكبر من واحد.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38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السيولة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المختصرة ( السريعة)</w:t>
            </w:r>
          </w:p>
        </w:tc>
        <w:tc>
          <w:tcPr>
            <w:tcW w:w="1517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الجارية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-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المخزون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)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/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الخصوم الجارية×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100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bidi/>
              <w:jc w:val="both"/>
              <w:rPr>
                <w:rFonts w:asciiTheme="majorBidi" w:hAnsiTheme="majorBidi" w:cs="Traditional Arabic"/>
                <w:b/>
                <w:bCs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تقيس مدى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قدرة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المؤسسة على سداد التزاماتها الجارية (قصيرة الأجل) دون اعتبار للمخزون. و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proofErr w:type="gramStart"/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يجب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أن </w:t>
            </w:r>
            <w:r w:rsidRPr="00B80287">
              <w:rPr>
                <w:rFonts w:ascii="Traditional Arabic" w:cs="Traditional Arabic" w:hint="cs"/>
                <w:sz w:val="30"/>
                <w:szCs w:val="30"/>
                <w:rtl/>
                <w:lang w:bidi="ar-SA"/>
              </w:rPr>
              <w:t xml:space="preserve">تتراوح </w:t>
            </w:r>
            <w:r>
              <w:rPr>
                <w:rFonts w:ascii="Traditional Arabic" w:cs="Traditional Arabic" w:hint="cs"/>
                <w:sz w:val="30"/>
                <w:szCs w:val="30"/>
                <w:rtl/>
                <w:lang w:bidi="ar-SA"/>
              </w:rPr>
              <w:t xml:space="preserve">ما </w:t>
            </w:r>
            <w:r w:rsidRPr="00B80287">
              <w:rPr>
                <w:rFonts w:ascii="Traditional Arabic" w:cs="Traditional Arabic" w:hint="cs"/>
                <w:sz w:val="30"/>
                <w:szCs w:val="30"/>
                <w:rtl/>
                <w:lang w:bidi="ar-SA"/>
              </w:rPr>
              <w:t>بين: 30 % و 50%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color w:val="000000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السيولة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الجاهزة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 الفورية)</w:t>
            </w:r>
          </w:p>
        </w:tc>
        <w:tc>
          <w:tcPr>
            <w:tcW w:w="1517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</w:t>
            </w: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القيم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الجاهزة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/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الخصوم الجارية)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100×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bidi/>
              <w:jc w:val="both"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تقيس مقدار النقدية ( السيولة المتاحة ) للمؤسسة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>في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 وقت معين لتغطية الخصوم الجارية. و </w:t>
            </w:r>
            <w:proofErr w:type="gramStart"/>
            <w:r>
              <w:rPr>
                <w:rFonts w:asciiTheme="majorBidi" w:hAnsiTheme="majorBidi" w:cs="Traditional Arabic" w:hint="cs"/>
                <w:sz w:val="30"/>
                <w:szCs w:val="30"/>
                <w:rtl/>
              </w:rPr>
              <w:t>يجب</w:t>
            </w:r>
            <w:proofErr w:type="gramEnd"/>
            <w:r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 أن </w:t>
            </w:r>
            <w:r w:rsidRPr="00B80287">
              <w:rPr>
                <w:rFonts w:ascii="Traditional Arabic" w:cs="Traditional Arabic" w:hint="cs"/>
                <w:sz w:val="30"/>
                <w:szCs w:val="30"/>
                <w:rtl/>
                <w:lang w:bidi="ar-SA"/>
              </w:rPr>
              <w:t>تتراوح</w:t>
            </w:r>
            <w:r>
              <w:rPr>
                <w:rFonts w:ascii="Traditional Arabic" w:cs="Traditional Arabic" w:hint="cs"/>
                <w:sz w:val="30"/>
                <w:szCs w:val="30"/>
                <w:rtl/>
                <w:lang w:bidi="ar-SA"/>
              </w:rPr>
              <w:t xml:space="preserve"> ما</w:t>
            </w:r>
            <w:r w:rsidRPr="00B80287">
              <w:rPr>
                <w:rFonts w:ascii="Traditional Arabic" w:cs="Traditional Arabic" w:hint="cs"/>
                <w:sz w:val="30"/>
                <w:szCs w:val="30"/>
                <w:rtl/>
                <w:lang w:bidi="ar-SA"/>
              </w:rPr>
              <w:t xml:space="preserve"> بين: 25 % و 35%</w:t>
            </w:r>
          </w:p>
        </w:tc>
      </w:tr>
      <w:tr w:rsidR="0059491A" w:rsidTr="002329E9">
        <w:tc>
          <w:tcPr>
            <w:tcW w:w="580" w:type="pct"/>
            <w:vMerge w:val="restart"/>
            <w:vAlign w:val="center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نسبة</w:t>
            </w:r>
            <w:proofErr w:type="gramEnd"/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النشاط</w:t>
            </w:r>
          </w:p>
          <w:p w:rsidR="0059491A" w:rsidRPr="00B80287" w:rsidRDefault="0059491A" w:rsidP="002329E9">
            <w:pPr>
              <w:bidi/>
              <w:jc w:val="center"/>
              <w:rPr>
                <w:rFonts w:cs="Traditional Arabic"/>
                <w:sz w:val="30"/>
                <w:szCs w:val="30"/>
                <w:rtl/>
              </w:rPr>
            </w:pP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color w:val="000000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معدل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دوران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</w:p>
        </w:tc>
        <w:tc>
          <w:tcPr>
            <w:tcW w:w="1517" w:type="pct"/>
          </w:tcPr>
          <w:p w:rsidR="0059491A" w:rsidRPr="00B80287" w:rsidRDefault="0059491A" w:rsidP="002329E9">
            <w:pPr>
              <w:pStyle w:val="Sansinterligne"/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رقم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الأعمال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مجموع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bidi/>
              <w:ind w:firstLine="34"/>
              <w:jc w:val="both"/>
              <w:rPr>
                <w:rFonts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cs="Traditional Arabic" w:hint="cs"/>
                <w:sz w:val="30"/>
                <w:szCs w:val="30"/>
                <w:rtl/>
              </w:rPr>
              <w:t>يقيس</w:t>
            </w:r>
            <w:proofErr w:type="gramEnd"/>
            <w:r w:rsidRPr="00B80287">
              <w:rPr>
                <w:rFonts w:cs="Traditional Arabic" w:hint="cs"/>
                <w:sz w:val="30"/>
                <w:szCs w:val="30"/>
                <w:rtl/>
              </w:rPr>
              <w:t xml:space="preserve"> مساهمة مجموع أصول المؤسسة في تحقيق</w:t>
            </w:r>
            <w:r>
              <w:rPr>
                <w:rFonts w:cs="Traditional Arabic" w:hint="cs"/>
                <w:sz w:val="30"/>
                <w:szCs w:val="30"/>
                <w:rtl/>
              </w:rPr>
              <w:t xml:space="preserve"> وتوليد</w:t>
            </w:r>
            <w:r w:rsidRPr="00B80287">
              <w:rPr>
                <w:rFonts w:cs="Traditional Arabic" w:hint="cs"/>
                <w:sz w:val="30"/>
                <w:szCs w:val="30"/>
                <w:rtl/>
              </w:rPr>
              <w:t xml:space="preserve"> رقم الأعمال.</w:t>
            </w:r>
          </w:p>
        </w:tc>
      </w:tr>
      <w:tr w:rsidR="0059491A" w:rsidTr="002329E9">
        <w:trPr>
          <w:trHeight w:val="618"/>
        </w:trPr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rPr>
                <w:rFonts w:cs="Traditional Arabic"/>
                <w:sz w:val="30"/>
                <w:szCs w:val="30"/>
                <w:rtl/>
              </w:rPr>
            </w:pPr>
          </w:p>
        </w:tc>
        <w:tc>
          <w:tcPr>
            <w:tcW w:w="938" w:type="pct"/>
            <w:shd w:val="clear" w:color="auto" w:fill="FFFFFF" w:themeFill="background1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معدل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دوران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غير الجارية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 الثابتة)</w:t>
            </w:r>
          </w:p>
        </w:tc>
        <w:tc>
          <w:tcPr>
            <w:tcW w:w="1517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رقم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الأعمال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/ ا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لأصول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غير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الجارية 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bidi/>
              <w:rPr>
                <w:rFonts w:cs="Traditional Arabic"/>
                <w:sz w:val="30"/>
                <w:szCs w:val="30"/>
                <w:rtl/>
              </w:rPr>
            </w:pPr>
            <w:r w:rsidRPr="00B80287">
              <w:rPr>
                <w:rFonts w:cs="Traditional Arabic" w:hint="cs"/>
                <w:sz w:val="30"/>
                <w:szCs w:val="30"/>
                <w:rtl/>
              </w:rPr>
              <w:t xml:space="preserve">يقيس مساهمة الأصول </w:t>
            </w:r>
            <w:proofErr w:type="gramStart"/>
            <w:r w:rsidRPr="00B80287">
              <w:rPr>
                <w:rFonts w:cs="Traditional Arabic" w:hint="cs"/>
                <w:sz w:val="30"/>
                <w:szCs w:val="30"/>
                <w:rtl/>
              </w:rPr>
              <w:t>غير</w:t>
            </w:r>
            <w:proofErr w:type="gramEnd"/>
            <w:r w:rsidRPr="00B80287">
              <w:rPr>
                <w:rFonts w:cs="Traditional Arabic" w:hint="cs"/>
                <w:sz w:val="30"/>
                <w:szCs w:val="30"/>
                <w:rtl/>
              </w:rPr>
              <w:t xml:space="preserve"> الجارية في تحقيق</w:t>
            </w:r>
            <w:r>
              <w:rPr>
                <w:rFonts w:cs="Traditional Arabic" w:hint="cs"/>
                <w:sz w:val="30"/>
                <w:szCs w:val="30"/>
                <w:rtl/>
              </w:rPr>
              <w:t xml:space="preserve"> وتوليد</w:t>
            </w:r>
            <w:r w:rsidRPr="00B80287">
              <w:rPr>
                <w:rFonts w:cs="Traditional Arabic" w:hint="cs"/>
                <w:sz w:val="30"/>
                <w:szCs w:val="30"/>
                <w:rtl/>
              </w:rPr>
              <w:t xml:space="preserve"> رقم الأعمال. فكلما  ارتفع معدل دوران  الأصول  كلما زادت الكفاءة  الإدارية.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rPr>
                <w:rFonts w:cs="Traditional Arabic"/>
                <w:sz w:val="30"/>
                <w:szCs w:val="30"/>
                <w:rtl/>
              </w:rPr>
            </w:pP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معدل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دوران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الجارية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رقم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الأعمال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الجارية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cs="Traditional Arabic" w:hint="cs"/>
                <w:sz w:val="30"/>
                <w:szCs w:val="30"/>
                <w:rtl/>
              </w:rPr>
              <w:t xml:space="preserve">يقيس مدى مساهمة الأصول الجارية في تحقيق </w:t>
            </w:r>
            <w:r>
              <w:rPr>
                <w:rFonts w:cs="Traditional Arabic" w:hint="cs"/>
                <w:sz w:val="30"/>
                <w:szCs w:val="30"/>
                <w:rtl/>
              </w:rPr>
              <w:t xml:space="preserve">و توليد </w:t>
            </w:r>
            <w:proofErr w:type="gramStart"/>
            <w:r w:rsidRPr="00B80287">
              <w:rPr>
                <w:rFonts w:cs="Traditional Arabic" w:hint="cs"/>
                <w:sz w:val="30"/>
                <w:szCs w:val="30"/>
                <w:rtl/>
              </w:rPr>
              <w:t>رقم</w:t>
            </w:r>
            <w:proofErr w:type="gramEnd"/>
            <w:r w:rsidRPr="00B80287">
              <w:rPr>
                <w:rFonts w:cs="Traditional Arabic" w:hint="cs"/>
                <w:sz w:val="30"/>
                <w:szCs w:val="30"/>
                <w:rtl/>
              </w:rPr>
              <w:t xml:space="preserve"> الأعمال.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rPr>
                <w:rFonts w:cs="Traditional Arabic"/>
                <w:sz w:val="30"/>
                <w:szCs w:val="30"/>
                <w:rtl/>
              </w:rPr>
            </w:pPr>
          </w:p>
        </w:tc>
        <w:tc>
          <w:tcPr>
            <w:tcW w:w="938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مهلة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دوران الزبائن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(الزبائن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>والحسابات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 المدينة المماثلة/المبيعات السنوية المتضمنة الرسم)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×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360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تقيس المدة التي تمنحها المؤسسة لزبائنها لتسديد 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ما عليهم من  ديون تجاهها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،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لا تتجاوز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عادة 90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 يوماً،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و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يجب أن تكون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أقل من ائتمان الموردين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rPr>
                <w:rFonts w:cs="Traditional Arabic"/>
                <w:sz w:val="30"/>
                <w:szCs w:val="30"/>
                <w:rtl/>
              </w:rPr>
            </w:pPr>
          </w:p>
        </w:tc>
        <w:tc>
          <w:tcPr>
            <w:tcW w:w="938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مهلة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دوران الموردين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(الموردون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>والحسابات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 المماثلة/المشتريات السنوية المتضمنة الرسم)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×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360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proofErr w:type="gramStart"/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تقيس</w:t>
            </w:r>
            <w:proofErr w:type="gramEnd"/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المدة التي يمنحها الموردون للمؤسسة حتى تتمكن من تسديد ما عليها من ديون. و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تكون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proofErr w:type="gramStart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أكبر</w:t>
            </w:r>
            <w:proofErr w:type="gramEnd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من مهلة تحصيل الزبائن.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rPr>
                <w:rFonts w:cs="Traditional Arabic"/>
                <w:sz w:val="30"/>
                <w:szCs w:val="30"/>
                <w:rtl/>
              </w:rPr>
            </w:pP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مهلة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دوران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المخزون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 ( بضاعة، مواد ولوازم، منتجات تامة)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>(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>متوسط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</w:rPr>
              <w:t xml:space="preserve"> المخزون/المشتريات السنوية أو تكلفة الإنتاج السنوي)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×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360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تقيس 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عدد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مرات دوران المخزون خلال الدورة التشغيلية. وتحوله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إلى  مبيعات.</w:t>
            </w:r>
          </w:p>
        </w:tc>
      </w:tr>
      <w:tr w:rsidR="0059491A" w:rsidTr="002329E9">
        <w:tc>
          <w:tcPr>
            <w:tcW w:w="580" w:type="pct"/>
            <w:vMerge w:val="restart"/>
            <w:vAlign w:val="center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rtl/>
                <w:lang w:bidi="ar-SA"/>
              </w:rPr>
              <w:t>نسب</w:t>
            </w:r>
            <w:r w:rsidRPr="00B80287">
              <w:rPr>
                <w:rFonts w:ascii="TraditionalArabic,Bold" w:hAnsi="TraditionalArabic,Bold" w:cs="Traditional Arabic" w:hint="cs"/>
                <w:b/>
                <w:bCs/>
                <w:sz w:val="30"/>
                <w:szCs w:val="30"/>
                <w:rtl/>
                <w:lang w:bidi="ar-SA"/>
              </w:rPr>
              <w:t>ة</w:t>
            </w:r>
            <w:proofErr w:type="gramEnd"/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rtl/>
                <w:lang w:bidi="ar-SA"/>
              </w:rPr>
              <w:t>التمويل</w:t>
            </w: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التمويل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الخارجي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( الاقتراض)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مجموع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الديون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مجموع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تقيس</w:t>
            </w:r>
            <w:r w:rsidRPr="00B80287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نسبة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proofErr w:type="gramStart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أموال</w:t>
            </w:r>
            <w:proofErr w:type="gramEnd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الغير التي اعتمدت عليها المؤسسة في تمويل أصولها.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38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التمويل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الدائم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الموارد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الدائمة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/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غير الجارية ( الثابتة)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تقيس درجة تغطية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الموارد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الدائمة للأصول غير الجارية. وت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حدد مستوى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ال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رأس  المال  العامل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46813">
              <w:rPr>
                <w:rFonts w:ascii="Sakkal Majalla" w:hAnsi="Sakkal Majalla" w:cs="Sakkal Majalla"/>
                <w:sz w:val="30"/>
                <w:szCs w:val="30"/>
                <w:lang w:bidi="ar-SA"/>
              </w:rPr>
              <w:t>(FR)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التمويل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الخاص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الأموال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الخاصة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الأصول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غير الجارية ( الثابتة)</w:t>
            </w:r>
          </w:p>
        </w:tc>
        <w:tc>
          <w:tcPr>
            <w:tcW w:w="1965" w:type="pct"/>
          </w:tcPr>
          <w:p w:rsidR="0059491A" w:rsidRPr="00A84D6B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تقيس درجة  تغطية الأموال الخاصة للأصول غير الجارية. وت</w:t>
            </w:r>
            <w:r w:rsidRPr="00A84D6B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حدد مستوى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ل</w:t>
            </w:r>
            <w:r w:rsidRPr="00A84D6B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رأس  </w:t>
            </w:r>
            <w:r w:rsidRPr="00A84D6B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lastRenderedPageBreak/>
              <w:t xml:space="preserve">المال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العامل </w:t>
            </w:r>
            <w:r w:rsidRPr="00A84D6B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الخاص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.</w:t>
            </w:r>
          </w:p>
        </w:tc>
      </w:tr>
      <w:tr w:rsidR="0059491A" w:rsidTr="002329E9">
        <w:tc>
          <w:tcPr>
            <w:tcW w:w="580" w:type="pct"/>
            <w:vMerge w:val="restart"/>
            <w:vAlign w:val="center"/>
          </w:tcPr>
          <w:p w:rsidR="0059491A" w:rsidRDefault="0059491A" w:rsidP="002329E9">
            <w:pPr>
              <w:bidi/>
              <w:jc w:val="center"/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rtl/>
                <w:lang w:bidi="ar-SA"/>
              </w:rPr>
            </w:pP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rtl/>
                <w:lang w:bidi="ar-SA"/>
              </w:rPr>
              <w:lastRenderedPageBreak/>
              <w:t>نسب</w:t>
            </w:r>
            <w:r w:rsidRPr="00B80287">
              <w:rPr>
                <w:rFonts w:ascii="TraditionalArabic,Bold" w:hAnsi="TraditionalArabic,Bold" w:cs="Traditional Arabic" w:hint="cs"/>
                <w:b/>
                <w:bCs/>
                <w:sz w:val="30"/>
                <w:szCs w:val="30"/>
                <w:rtl/>
                <w:lang w:bidi="ar-SA"/>
              </w:rPr>
              <w:t>ة</w:t>
            </w: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rtl/>
                <w:lang w:bidi="ar-SA"/>
              </w:rPr>
              <w:t>المردودية</w:t>
            </w:r>
          </w:p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Arabic,Bold" w:hAnsi="TraditionalArabic,Bold" w:cs="Traditional Arabic" w:hint="cs"/>
                <w:b/>
                <w:bCs/>
                <w:sz w:val="30"/>
                <w:szCs w:val="30"/>
                <w:rtl/>
                <w:lang w:bidi="ar-SA"/>
              </w:rPr>
              <w:t xml:space="preserve"> (الربحية)</w:t>
            </w: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مردودية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الأموال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الخاصة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</w:t>
            </w: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الربح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الصافي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الأموال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الخاصة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)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× 100</w:t>
            </w:r>
          </w:p>
        </w:tc>
        <w:tc>
          <w:tcPr>
            <w:tcW w:w="1965" w:type="pct"/>
          </w:tcPr>
          <w:p w:rsidR="0059491A" w:rsidRPr="008F73F1" w:rsidRDefault="0059491A" w:rsidP="002329E9">
            <w:pPr>
              <w:autoSpaceDE w:val="0"/>
              <w:autoSpaceDN w:val="0"/>
              <w:bidi/>
              <w:adjustRightInd w:val="0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 w:rsidRPr="008F73F1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تقيس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نسبة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مردودية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الأموال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الخاصة</w:t>
            </w:r>
            <w:r w:rsidRPr="008F73F1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،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وبالتالي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ما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تقدمه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الوحدة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الواحدة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المستثمرة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من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أموال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المساهمين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من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ربح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صافي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rPr>
                <w:rFonts w:cs="Traditional Arabic"/>
                <w:sz w:val="30"/>
                <w:szCs w:val="30"/>
                <w:rtl/>
              </w:rPr>
            </w:pP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مردود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ي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النشاط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الربح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الإجمالي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رقم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الأعمال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)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× 100</w:t>
            </w:r>
          </w:p>
        </w:tc>
        <w:tc>
          <w:tcPr>
            <w:tcW w:w="1965" w:type="pct"/>
          </w:tcPr>
          <w:p w:rsidR="0059491A" w:rsidRPr="00B12B1C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تقيس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نسبة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مردودية</w:t>
            </w:r>
            <w:r w:rsidRPr="008F73F1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رقم الأعمال</w:t>
            </w:r>
            <w:r w:rsidRPr="008F73F1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و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تبين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كفاءة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المسيرين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في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إدارة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رقم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الأعمال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والأعباء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lang w:bidi="ar-SA"/>
              </w:rPr>
              <w:t xml:space="preserve"> </w:t>
            </w:r>
            <w:r w:rsidRPr="00B12B1C"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  <w:t>الكلية</w:t>
            </w:r>
            <w:r>
              <w:rPr>
                <w:rFonts w:ascii="TraditionalArabic,Bold" w:hAnsi="TraditionalArabic,Bold" w:cs="Traditional Arabic" w:hint="cs"/>
                <w:b/>
                <w:bCs/>
                <w:sz w:val="30"/>
                <w:szCs w:val="30"/>
                <w:rtl/>
                <w:lang w:bidi="ar-SA"/>
              </w:rPr>
              <w:t>.</w:t>
            </w:r>
          </w:p>
        </w:tc>
      </w:tr>
      <w:tr w:rsidR="0059491A" w:rsidTr="002329E9">
        <w:tc>
          <w:tcPr>
            <w:tcW w:w="580" w:type="pct"/>
            <w:vMerge w:val="restart"/>
            <w:vAlign w:val="center"/>
          </w:tcPr>
          <w:p w:rsidR="0059491A" w:rsidRPr="00B80287" w:rsidRDefault="0059491A" w:rsidP="002329E9">
            <w:pPr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rtl/>
                <w:lang w:bidi="ar-SA"/>
              </w:rPr>
              <w:t>المردودية</w:t>
            </w: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rtl/>
                <w:lang w:bidi="ar-SA"/>
              </w:rPr>
              <w:t>المالية</w:t>
            </w: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="TraditionalArabic,Bold" w:hAnsi="TraditionalArabic,Bold" w:cs="Traditional Arabic"/>
                <w:b/>
                <w:bCs/>
                <w:sz w:val="30"/>
                <w:szCs w:val="30"/>
                <w:rtl/>
                <w:lang w:bidi="ar-SA"/>
              </w:rPr>
              <w:t>والاقتصادية</w:t>
            </w: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 المردودية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المالية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النتيجة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الصافية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/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الأموال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الخاصة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(حقوق الملكية)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تقيس صافي </w:t>
            </w:r>
            <w:proofErr w:type="gramStart"/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ربح</w:t>
            </w:r>
            <w:proofErr w:type="gramEnd"/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الشركة على استثمارات المساهمين.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B80287" w:rsidRDefault="0059491A" w:rsidP="002329E9">
            <w:pPr>
              <w:bidi/>
              <w:rPr>
                <w:rFonts w:cs="Traditional Arabic"/>
                <w:sz w:val="30"/>
                <w:szCs w:val="30"/>
                <w:rtl/>
              </w:rPr>
            </w:pP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نسبة المردودية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الاقتصاد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ية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نتيجة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الاستغلال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/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الديون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+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الأموال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الخاصة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)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تقيس مدى  الثروة  المتولدة عن الأموال  الخاصة و الأجنبية.</w:t>
            </w:r>
          </w:p>
        </w:tc>
      </w:tr>
      <w:tr w:rsidR="0059491A" w:rsidTr="002329E9">
        <w:tc>
          <w:tcPr>
            <w:tcW w:w="580" w:type="pct"/>
            <w:vMerge w:val="restart"/>
            <w:vAlign w:val="center"/>
          </w:tcPr>
          <w:p w:rsidR="0059491A" w:rsidRPr="00B80287" w:rsidRDefault="0059491A" w:rsidP="002329E9">
            <w:pPr>
              <w:bidi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B8028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نسب المديونية</w:t>
            </w: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نسبة الاستقلالية المالية في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التمويل  الدائم 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(الأموال  الخاصة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/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لموارد الدائمة)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× 100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قيس درجة </w:t>
            </w:r>
            <w:proofErr w:type="gramStart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اعتماد</w:t>
            </w:r>
            <w:proofErr w:type="gramEnd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المؤسسة في تمويلها الدائم على أموالها الخاصة. 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ويجب أن تكون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أكثر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من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 50%.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8D7192" w:rsidRDefault="0059491A" w:rsidP="002329E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938" w:type="pct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نسبة الاستقلالية المالية في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التمويل العام</w:t>
            </w:r>
          </w:p>
        </w:tc>
        <w:tc>
          <w:tcPr>
            <w:tcW w:w="1517" w:type="pct"/>
            <w:shd w:val="clear" w:color="auto" w:fill="auto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(الأموال الخاصة/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مجموع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الخصوم)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× 100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قيس حصة الأموال الخاصة في التمويل </w:t>
            </w:r>
            <w:proofErr w:type="gramStart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العام</w:t>
            </w:r>
            <w:proofErr w:type="gramEnd"/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للمؤسسة. </w:t>
            </w:r>
            <w:proofErr w:type="gramStart"/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ويجب</w:t>
            </w:r>
            <w:proofErr w:type="gramEnd"/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أن تتراوح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 ما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بين حد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أدنى: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20% وحد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أقصى: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60%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8D7192" w:rsidRDefault="0059491A" w:rsidP="002329E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938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نسبة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السيولة الآجلة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(ديون مالية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موارد  الد</w:t>
            </w:r>
            <w:bookmarkStart w:id="0" w:name="_GoBack"/>
            <w:bookmarkEnd w:id="0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ائمة)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× 100</w:t>
            </w:r>
          </w:p>
        </w:tc>
        <w:tc>
          <w:tcPr>
            <w:tcW w:w="1965" w:type="pct"/>
          </w:tcPr>
          <w:p w:rsidR="0059491A" w:rsidRPr="007B43EA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يقيس حصة الأموال الدائمة الأجنبية في تمويل كل الأصول غير الجارية للمؤسسة  واحتياجاتها في رأس المال العامل</w:t>
            </w:r>
            <w:r w:rsidRPr="007B43EA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. </w:t>
            </w:r>
            <w:proofErr w:type="gramStart"/>
            <w:r w:rsidRPr="007B43EA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بالنسبة</w:t>
            </w:r>
            <w:proofErr w:type="gramEnd"/>
            <w:r w:rsidRPr="007B43EA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للدائنين</w:t>
            </w:r>
            <w:r w:rsidRPr="007B43EA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: 40% ديون و 60% أموال خاصة</w:t>
            </w:r>
            <w:r w:rsidRPr="007B43EA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.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وبالنسبة للمساهمين  تفضيل نسبة المديونية من خلال الاستفادة من الأثر الايجابي الرفع المالي.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8D7192" w:rsidRDefault="0059491A" w:rsidP="002329E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938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نسبة القدرة على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التسديد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ديون  متوسطة و  طويلة  الأجل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قدرة التمويل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الذاتي 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يقيس المدة التي تستغرقها المؤسسة لتسديد ديونها متوسطة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و طويلة الأ</w:t>
            </w:r>
            <w:r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جل بعد استخدامها لكل قدراتها في التمويل الذاتي. وبالتالي</w:t>
            </w: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يقيس قدرة  المؤسسة على  الاستدانة.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أقل  من المدة  الحقيقية  للتسديد</w:t>
            </w:r>
          </w:p>
        </w:tc>
      </w:tr>
      <w:tr w:rsidR="0059491A" w:rsidTr="002329E9">
        <w:tc>
          <w:tcPr>
            <w:tcW w:w="580" w:type="pct"/>
            <w:vMerge/>
            <w:vAlign w:val="center"/>
          </w:tcPr>
          <w:p w:rsidR="0059491A" w:rsidRPr="008D7192" w:rsidRDefault="0059491A" w:rsidP="002329E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938" w:type="pct"/>
            <w:vAlign w:val="center"/>
          </w:tcPr>
          <w:p w:rsidR="0059491A" w:rsidRPr="00B80287" w:rsidRDefault="0059491A" w:rsidP="002329E9">
            <w:pPr>
              <w:bidi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نسبة تغطية المصاريف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المالية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المصاريف المالية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lang w:bidi="ar-SA"/>
              </w:rPr>
              <w:t>/</w:t>
            </w:r>
            <w:r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</w:t>
            </w:r>
            <w:proofErr w:type="gramStart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رقم</w:t>
            </w:r>
            <w:proofErr w:type="gramEnd"/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 xml:space="preserve"> الأعمال السنوي الصافي </w:t>
            </w:r>
          </w:p>
        </w:tc>
        <w:tc>
          <w:tcPr>
            <w:tcW w:w="1965" w:type="pct"/>
          </w:tcPr>
          <w:p w:rsidR="0059491A" w:rsidRPr="00B80287" w:rsidRDefault="0059491A" w:rsidP="002329E9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30"/>
                <w:szCs w:val="30"/>
                <w:rtl/>
                <w:lang w:bidi="ar-SA"/>
              </w:rPr>
            </w:pPr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يقيس درجة تغطية </w:t>
            </w:r>
            <w:proofErr w:type="gramStart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رقم</w:t>
            </w:r>
            <w:proofErr w:type="gramEnd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الأعمال للمصاريف المالية. وبالتالي فهو يعبر عن مؤشر </w:t>
            </w:r>
            <w:proofErr w:type="gramStart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>تحكم</w:t>
            </w:r>
            <w:proofErr w:type="gramEnd"/>
            <w:r w:rsidRPr="00B80287">
              <w:rPr>
                <w:rFonts w:ascii="TraditionalArabic" w:hAnsi="TraditionalArabic" w:cs="Traditional Arabic" w:hint="cs"/>
                <w:sz w:val="30"/>
                <w:szCs w:val="30"/>
                <w:rtl/>
                <w:lang w:bidi="ar-SA"/>
              </w:rPr>
              <w:t xml:space="preserve"> المؤسسة في مصاريفها. 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كلما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كانت منخفضة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 </w:t>
            </w:r>
            <w:r w:rsidRPr="00B80287">
              <w:rPr>
                <w:rFonts w:asciiTheme="majorBidi" w:hAnsiTheme="majorBidi" w:cs="Traditional Arabic" w:hint="cs"/>
                <w:sz w:val="30"/>
                <w:szCs w:val="30"/>
                <w:rtl/>
                <w:lang w:bidi="ar-SA"/>
              </w:rPr>
              <w:t>كلما كانت</w:t>
            </w:r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 </w:t>
            </w:r>
            <w:proofErr w:type="gramStart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>في</w:t>
            </w:r>
            <w:proofErr w:type="gramEnd"/>
            <w:r w:rsidRPr="00B80287">
              <w:rPr>
                <w:rFonts w:asciiTheme="majorBidi" w:hAnsiTheme="majorBidi" w:cs="Traditional Arabic"/>
                <w:sz w:val="30"/>
                <w:szCs w:val="30"/>
                <w:rtl/>
                <w:lang w:bidi="ar-SA"/>
              </w:rPr>
              <w:t xml:space="preserve"> صالح المؤسسة</w:t>
            </w:r>
          </w:p>
        </w:tc>
      </w:tr>
    </w:tbl>
    <w:p w:rsidR="0092053F" w:rsidRPr="0059491A" w:rsidRDefault="0092053F" w:rsidP="0059491A">
      <w:pPr>
        <w:bidi/>
      </w:pPr>
    </w:p>
    <w:sectPr w:rsidR="0092053F" w:rsidRPr="0059491A" w:rsidSect="0059491A">
      <w:footerReference w:type="default" r:id="rId8"/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6B" w:rsidRDefault="00C9646B" w:rsidP="0059491A">
      <w:pPr>
        <w:spacing w:after="0" w:line="240" w:lineRule="auto"/>
      </w:pPr>
      <w:r>
        <w:separator/>
      </w:r>
    </w:p>
  </w:endnote>
  <w:endnote w:type="continuationSeparator" w:id="0">
    <w:p w:rsidR="00C9646B" w:rsidRDefault="00C9646B" w:rsidP="0059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Arab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1A" w:rsidRDefault="005949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6B" w:rsidRDefault="00C9646B" w:rsidP="0059491A">
      <w:pPr>
        <w:spacing w:after="0" w:line="240" w:lineRule="auto"/>
      </w:pPr>
      <w:r>
        <w:separator/>
      </w:r>
    </w:p>
  </w:footnote>
  <w:footnote w:type="continuationSeparator" w:id="0">
    <w:p w:rsidR="00C9646B" w:rsidRDefault="00C9646B" w:rsidP="00594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A0"/>
    <w:rsid w:val="004E4CA0"/>
    <w:rsid w:val="0059491A"/>
    <w:rsid w:val="0092053F"/>
    <w:rsid w:val="00C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1A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4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9491A"/>
    <w:pPr>
      <w:spacing w:after="0" w:line="240" w:lineRule="auto"/>
    </w:pPr>
    <w:rPr>
      <w:lang w:bidi="ar-DZ"/>
    </w:rPr>
  </w:style>
  <w:style w:type="paragraph" w:styleId="En-tte">
    <w:name w:val="header"/>
    <w:basedOn w:val="Normal"/>
    <w:link w:val="En-tteCar"/>
    <w:uiPriority w:val="99"/>
    <w:unhideWhenUsed/>
    <w:rsid w:val="0059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91A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59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91A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1A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4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9491A"/>
    <w:pPr>
      <w:spacing w:after="0" w:line="240" w:lineRule="auto"/>
    </w:pPr>
    <w:rPr>
      <w:lang w:bidi="ar-DZ"/>
    </w:rPr>
  </w:style>
  <w:style w:type="paragraph" w:styleId="En-tte">
    <w:name w:val="header"/>
    <w:basedOn w:val="Normal"/>
    <w:link w:val="En-tteCar"/>
    <w:uiPriority w:val="99"/>
    <w:unhideWhenUsed/>
    <w:rsid w:val="0059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91A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59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91A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0C6E-A38A-407A-A6F9-B50D3C3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3364</Characters>
  <Application>Microsoft Office Word</Application>
  <DocSecurity>0</DocSecurity>
  <Lines>28</Lines>
  <Paragraphs>7</Paragraphs>
  <ScaleCrop>false</ScaleCrop>
  <Company>ZELIS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2021-11-10T14:21:00Z</dcterms:created>
  <dcterms:modified xsi:type="dcterms:W3CDTF">2021-11-10T14:23:00Z</dcterms:modified>
</cp:coreProperties>
</file>