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EE" w:rsidRDefault="00790FEE" w:rsidP="00790FEE">
      <w:pPr>
        <w:tabs>
          <w:tab w:val="left" w:pos="3867"/>
        </w:tabs>
        <w:bidi/>
        <w:spacing w:after="0"/>
        <w:ind w:left="820"/>
        <w:jc w:val="both"/>
        <w:outlineLvl w:val="0"/>
        <w:rPr>
          <w:rFonts w:ascii="Traditional Arabic" w:hAnsi="Traditional Arabic" w:cs="Traditional Arabic"/>
          <w:b/>
          <w:bCs/>
          <w:sz w:val="36"/>
          <w:szCs w:val="36"/>
          <w:lang w:val="en-US" w:bidi="ar-DZ"/>
        </w:rPr>
      </w:pPr>
      <w:r>
        <w:rPr>
          <w:rFonts w:ascii="Traditional Arabic" w:hAnsi="Traditional Arabic" w:cs="Traditional Arabic"/>
          <w:b/>
          <w:bCs/>
          <w:sz w:val="36"/>
          <w:szCs w:val="36"/>
          <w:rtl/>
          <w:lang w:bidi="ar-DZ"/>
        </w:rPr>
        <w:tab/>
      </w:r>
      <w:r>
        <w:rPr>
          <w:rFonts w:ascii="Traditional Arabic" w:hAnsi="Traditional Arabic" w:cs="Traditional Arabic"/>
          <w:b/>
          <w:bCs/>
          <w:sz w:val="36"/>
          <w:szCs w:val="36"/>
          <w:rtl/>
          <w:lang w:val="en-US" w:bidi="ar-DZ"/>
        </w:rPr>
        <w:t>البنية السطحية</w:t>
      </w:r>
    </w:p>
    <w:p w:rsidR="00790FEE" w:rsidRDefault="00790FEE" w:rsidP="00790FEE">
      <w:pPr>
        <w:tabs>
          <w:tab w:val="left" w:pos="3171"/>
        </w:tabs>
        <w:bidi/>
        <w:spacing w:after="0"/>
        <w:ind w:left="820"/>
        <w:jc w:val="both"/>
        <w:outlineLvl w:val="0"/>
        <w:rPr>
          <w:rFonts w:ascii="Traditional Arabic" w:hAnsi="Traditional Arabic" w:cs="Traditional Arabic"/>
          <w:sz w:val="36"/>
          <w:szCs w:val="36"/>
          <w:rtl/>
          <w:lang w:bidi="ar-DZ"/>
        </w:rPr>
      </w:pPr>
      <w:r>
        <w:rPr>
          <w:rFonts w:ascii="Traditional Arabic" w:hAnsi="Traditional Arabic" w:cs="Traditional Arabic"/>
          <w:b/>
          <w:bCs/>
          <w:sz w:val="36"/>
          <w:szCs w:val="36"/>
          <w:lang w:bidi="ar-DZ"/>
        </w:rPr>
        <w:t>1</w:t>
      </w:r>
      <w:r>
        <w:rPr>
          <w:rFonts w:ascii="Traditional Arabic" w:hAnsi="Traditional Arabic" w:cs="Traditional Arabic"/>
          <w:b/>
          <w:bCs/>
          <w:sz w:val="36"/>
          <w:szCs w:val="36"/>
          <w:rtl/>
          <w:lang w:bidi="ar-DZ"/>
        </w:rPr>
        <w:t>-المكون السردي:</w:t>
      </w:r>
      <w:r>
        <w:rPr>
          <w:rFonts w:ascii="Traditional Arabic" w:hAnsi="Traditional Arabic" w:cs="Traditional Arabic"/>
          <w:sz w:val="36"/>
          <w:szCs w:val="36"/>
          <w:rtl/>
          <w:lang w:bidi="ar-DZ"/>
        </w:rPr>
        <w:t xml:space="preserve"> </w:t>
      </w:r>
    </w:p>
    <w:p w:rsidR="00790FEE" w:rsidRDefault="00790FEE" w:rsidP="00790FEE">
      <w:pPr>
        <w:tabs>
          <w:tab w:val="left" w:pos="3171"/>
        </w:tabs>
        <w:bidi/>
        <w:spacing w:after="0"/>
        <w:ind w:left="-2"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1-2- </w:t>
      </w:r>
      <w:r>
        <w:rPr>
          <w:rFonts w:ascii="Traditional Arabic" w:hAnsi="Traditional Arabic" w:cs="Traditional Arabic"/>
          <w:b/>
          <w:bCs/>
          <w:sz w:val="36"/>
          <w:szCs w:val="36"/>
          <w:rtl/>
          <w:lang w:bidi="ar-DZ"/>
        </w:rPr>
        <w:t>السردية:</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يقصد بالتحليل السيميائي للنصوص ذلك التحليل الذي يُعنى في عمقِه إلى معرفة وتقديم وصف لمظاهر الاختلاف الدلالي انطلاقا من أنّ منطق المعنى هو الاختلاف الذي ترتهن إليه البنيتين العميقة والسطحية للنص السردي.</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فعلى مستوى البنية العميقة تكتسب الوحدات الأولية للدلالة معالمها وتتحدد هويتها انطلاقا من اختلافها وتقابلها مع غيرها من الوحدات الأوليّة للدلالة، فلا جود لمعنى الحياة إلا بعلاقتها بالموت،</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ولا معنى للخير إلاّ بما يقابله من شر وهو ما يؤكد ما ذهب إليه (</w:t>
      </w:r>
      <w:r>
        <w:rPr>
          <w:rFonts w:ascii="Traditional Arabic" w:hAnsi="Traditional Arabic" w:cs="Traditional Arabic"/>
          <w:b/>
          <w:bCs/>
          <w:sz w:val="36"/>
          <w:szCs w:val="36"/>
          <w:rtl/>
          <w:lang w:bidi="ar-DZ"/>
        </w:rPr>
        <w:t>دي سوسير</w:t>
      </w:r>
      <w:r>
        <w:rPr>
          <w:rFonts w:ascii="Traditional Arabic" w:hAnsi="Traditional Arabic" w:cs="Traditional Arabic"/>
          <w:sz w:val="36"/>
          <w:szCs w:val="36"/>
          <w:rtl/>
          <w:lang w:bidi="ar-DZ"/>
        </w:rPr>
        <w:t xml:space="preserve"> ) بقوله ( في اللسان لا وجود إلاّ للاختلافات)</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sz w:val="36"/>
          <w:szCs w:val="36"/>
          <w:lang w:bidi="ar-DZ"/>
        </w:rPr>
        <w:t xml:space="preserve"> .</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أمّا على مستوى البنية السطحية للنص فهي الثانية تحتكم لذات المبدأ انطلاقا من أنّ النّص بوصفه متنا للدراسة يرد ضمن هذا المستوى (كمتوالية لمجموعةٍ من الحالات والتحوّلات (الحالة "أ" تتحول إلى الحالة "ب" ))</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التي تقدم في تباينها واختلافها دلالة هذا المحكي.</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tl/>
        </w:rPr>
        <w:pict>
          <v:shapetype id="_x0000_t32" coordsize="21600,21600" o:spt="32" o:oned="t" path="m,l21600,21600e" filled="f">
            <v:path arrowok="t" fillok="f" o:connecttype="none"/>
            <o:lock v:ext="edit" shapetype="t"/>
          </v:shapetype>
          <v:shape id="_x0000_s1026" type="#_x0000_t32" style="position:absolute;left:0;text-align:left;margin-left:275.25pt;margin-top:15.6pt;width:90pt;height:0;flip:x;z-index:251658240" o:connectortype="straight">
            <v:stroke endarrow="block"/>
          </v:shape>
        </w:pic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الحالة  (أ)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الحالة (ب)</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من ثم، فإن السردية </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sz w:val="36"/>
          <w:szCs w:val="36"/>
          <w:lang w:bidi="ar-DZ"/>
        </w:rPr>
        <w:t> </w:t>
      </w:r>
      <w:r>
        <w:rPr>
          <w:rFonts w:ascii="Traditional Arabic" w:hAnsi="Traditional Arabic" w:cs="Traditional Arabic"/>
          <w:sz w:val="32"/>
          <w:szCs w:val="32"/>
          <w:lang w:bidi="ar-DZ"/>
        </w:rPr>
        <w:t>la narrativité</w:t>
      </w:r>
      <w:r>
        <w:rPr>
          <w:rFonts w:ascii="Traditional Arabic" w:hAnsi="Traditional Arabic" w:cs="Traditional Arabic"/>
          <w:sz w:val="36"/>
          <w:szCs w:val="36"/>
          <w:lang w:bidi="ar-DZ"/>
        </w:rPr>
        <w:t> </w:t>
      </w:r>
      <w:r>
        <w:rPr>
          <w:rFonts w:ascii="Traditional Arabic" w:hAnsi="Traditional Arabic" w:cs="Traditional Arabic"/>
          <w:sz w:val="36"/>
          <w:szCs w:val="36"/>
          <w:rtl/>
          <w:lang w:bidi="ar-DZ"/>
        </w:rPr>
        <w:t xml:space="preserve">هي تلك الظاهرة المتعلقة بتتابع الحالات والتحوّلات المسجلة في النص والمسؤولة عن إنتاج المعنى وتنظيمها من خلال علاقة مبيّنة متجليّة أو مضمرة في نّص المحكي. </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أما التحليل السيميائي فهو الكشف عن الحالات والتحولات وتمثيل الاختلافات داخل النص في شكل تتابع، وبما أن كل نص يمثل تركيبة سردية فبإمكانه أن يخضع للتحليل.</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يرتبط المحكي من منظور (</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xml:space="preserve">) ارتباطا وثيقا بالسردية باعتباره (انتقالا يتموضع بين حالتين متعاقبتين ومتباينتين ) </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sz w:val="36"/>
          <w:szCs w:val="36"/>
          <w:rtl/>
          <w:lang w:bidi="ar-DZ"/>
        </w:rPr>
        <w:t xml:space="preserve">فبواسطة هذا الانتقال يتحقق التحول </w:t>
      </w:r>
      <w:r>
        <w:rPr>
          <w:rFonts w:ascii="Traditional Arabic" w:hAnsi="Traditional Arabic" w:cs="Traditional Arabic"/>
          <w:sz w:val="32"/>
          <w:szCs w:val="32"/>
          <w:lang w:bidi="ar-DZ"/>
        </w:rPr>
        <w:t>la transformation</w:t>
      </w:r>
      <w:r>
        <w:rPr>
          <w:rFonts w:ascii="Traditional Arabic" w:hAnsi="Traditional Arabic" w:cs="Traditional Arabic"/>
          <w:sz w:val="36"/>
          <w:szCs w:val="36"/>
          <w:rtl/>
          <w:lang w:bidi="ar-DZ"/>
        </w:rPr>
        <w:t xml:space="preserve"> من </w:t>
      </w:r>
      <w:r>
        <w:rPr>
          <w:rFonts w:ascii="Traditional Arabic" w:hAnsi="Traditional Arabic" w:cs="Traditional Arabic"/>
          <w:sz w:val="36"/>
          <w:szCs w:val="36"/>
          <w:rtl/>
          <w:lang w:bidi="ar-DZ"/>
        </w:rPr>
        <w:lastRenderedPageBreak/>
        <w:t>حالة (أ) إلى حالة (ب) وهي المقولة التي انطلق منها</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لبناء معالم الدرس السيميائي، حيث إنه استثمر ما أدّته (جماعة 4 كلين ) حول (الثابت والمتحول الرياضية)</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انطلاقا من أنّ العلاقة بين شيئين اثنين يفرز عنها ميلاد علاقة ثالثة.</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على هذا الأساس، فإنّ المقاربة السيميائية تهتم بالنصوص السردية التي تتعاقب ضمنها الحالات والتحولات ممّا أكسب السرد مفهوما سيميائيا جوهريا.</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إنّ السرد في ظلّ متصورات السيميائية السردية أصبح (نشاطا سيميائيا يضطلع إلى تمثيل الوقائع)</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sz w:val="36"/>
          <w:szCs w:val="36"/>
          <w:rtl/>
          <w:lang w:bidi="ar-DZ"/>
        </w:rPr>
        <w:t xml:space="preserve">  كلّها ومركز لجميع النشاطات السيميائية، فعلى الرغم من أن السرد </w:t>
      </w:r>
      <w:r>
        <w:rPr>
          <w:rFonts w:ascii="Traditional Arabic" w:hAnsi="Traditional Arabic" w:cs="Traditional Arabic"/>
          <w:sz w:val="32"/>
          <w:szCs w:val="32"/>
          <w:lang w:bidi="ar-DZ"/>
        </w:rPr>
        <w:t>la narration</w:t>
      </w:r>
      <w:r>
        <w:rPr>
          <w:rFonts w:ascii="Traditional Arabic" w:hAnsi="Traditional Arabic" w:cs="Traditional Arabic"/>
          <w:sz w:val="36"/>
          <w:szCs w:val="36"/>
          <w:rtl/>
          <w:lang w:bidi="ar-DZ"/>
        </w:rPr>
        <w:t xml:space="preserve"> هو الصيغة المهيمنة </w:t>
      </w:r>
      <w:r>
        <w:rPr>
          <w:rFonts w:ascii="Traditional Arabic" w:hAnsi="Traditional Arabic" w:cs="Traditional Arabic"/>
          <w:sz w:val="32"/>
          <w:szCs w:val="32"/>
          <w:lang w:bidi="ar-DZ"/>
        </w:rPr>
        <w:t>la mode dominante</w:t>
      </w:r>
      <w:r>
        <w:rPr>
          <w:rFonts w:ascii="Traditional Arabic" w:hAnsi="Traditional Arabic" w:cs="Traditional Arabic"/>
          <w:sz w:val="36"/>
          <w:szCs w:val="36"/>
          <w:rtl/>
          <w:lang w:bidi="ar-DZ"/>
        </w:rPr>
        <w:t xml:space="preserve"> والمؤطرة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لخطاب المحكي إلاّ أن هذا لا يعني انحساره ضمن مجال ضيّق وانخراطه ضمن جنس أدبي بعينه وهو التصور الذي راهنت عليه المقولات الأجناسية ردحًا من الزمن بغية المحافظة على تبعية صيغة مفردة بجنس أدبي.</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إن المحكي </w:t>
      </w:r>
      <w:r>
        <w:rPr>
          <w:rFonts w:ascii="Traditional Arabic" w:hAnsi="Traditional Arabic" w:cs="Traditional Arabic"/>
          <w:sz w:val="32"/>
          <w:szCs w:val="32"/>
          <w:lang w:bidi="ar-DZ"/>
        </w:rPr>
        <w:t xml:space="preserve">le récit </w:t>
      </w:r>
      <w:r>
        <w:rPr>
          <w:rFonts w:ascii="Traditional Arabic" w:hAnsi="Traditional Arabic" w:cs="Traditional Arabic"/>
          <w:sz w:val="36"/>
          <w:szCs w:val="36"/>
          <w:rtl/>
          <w:lang w:bidi="ar-DZ"/>
        </w:rPr>
        <w:t xml:space="preserve"> بوصفه خطابا كبيرا جامعًا فإنه يضطلع دومًا إلى أن يحتضن كل الخطابات على اختلاف أنواعها وتعدد صيغها لفظية ،صورية أم حركية نحو الخطابات الأدبية واللاأدبية، اللسانية وغير اللسانية  الأسطورية، التاريخية، الميثولوجية، المقالات الصحفية ، المنشورات العلمية ، الملصقات والإعلانات التجارية... إلخ.</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بات الفرق بين السردية والمحكي واضحا، فإذا كان المحكي نوعا من أنواع الخطابات السردية التي تتعاقب ضمنها الحالات والتحوّلات وتتتالى فإنّ السردية هي تلك الخاصية البنيوية للدلالة التي تتقصى مواطن الاختلاف داخل النص والتي تؤدي دورًا فاعلا في بناء المعنى.</w:t>
      </w:r>
    </w:p>
    <w:p w:rsidR="00790FEE" w:rsidRDefault="00790FEE" w:rsidP="00790FEE">
      <w:pPr>
        <w:tabs>
          <w:tab w:val="left" w:pos="3171"/>
        </w:tabs>
        <w:bidi/>
        <w:spacing w:after="0"/>
        <w:ind w:left="-2"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إنّ السردية باعتبارها المبدأ المسؤول في إنتاج المعنى وتنظيم الدلالة في الخطاب و (الخاصيّة التي من شأنها أن تميّز النمط المعيّن من الخطابات المحكية وغير المحكية)</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sz w:val="36"/>
          <w:szCs w:val="36"/>
          <w:rtl/>
          <w:lang w:bidi="ar-DZ"/>
        </w:rPr>
        <w:t xml:space="preserve"> فإنّ (</w:t>
      </w:r>
      <w:r>
        <w:rPr>
          <w:rFonts w:ascii="Traditional Arabic" w:hAnsi="Traditional Arabic" w:cs="Traditional Arabic"/>
          <w:b/>
          <w:bCs/>
          <w:sz w:val="36"/>
          <w:szCs w:val="36"/>
          <w:rtl/>
          <w:lang w:bidi="ar-DZ"/>
        </w:rPr>
        <w:t>غريماس</w:t>
      </w:r>
      <w:r>
        <w:rPr>
          <w:rFonts w:ascii="Traditional Arabic" w:hAnsi="Traditional Arabic" w:cs="Traditional Arabic"/>
          <w:sz w:val="36"/>
          <w:szCs w:val="36"/>
          <w:rtl/>
          <w:lang w:bidi="ar-DZ"/>
        </w:rPr>
        <w:t>) في سعيه نحو تشييد أنظمة الدلالة توسّل بما أدّاه (</w:t>
      </w:r>
      <w:r>
        <w:rPr>
          <w:rFonts w:ascii="Traditional Arabic" w:hAnsi="Traditional Arabic" w:cs="Traditional Arabic"/>
          <w:b/>
          <w:bCs/>
          <w:sz w:val="36"/>
          <w:szCs w:val="36"/>
          <w:rtl/>
          <w:lang w:bidi="ar-DZ"/>
        </w:rPr>
        <w:t>إميل بنفنيست</w:t>
      </w:r>
      <w:r>
        <w:rPr>
          <w:rFonts w:ascii="Traditional Arabic" w:hAnsi="Traditional Arabic" w:cs="Traditional Arabic"/>
          <w:sz w:val="36"/>
          <w:szCs w:val="36"/>
          <w:rtl/>
          <w:lang w:bidi="ar-DZ"/>
        </w:rPr>
        <w:t xml:space="preserve">) </w:t>
      </w:r>
      <w:r>
        <w:rPr>
          <w:rFonts w:ascii="Traditional Arabic" w:hAnsi="Traditional Arabic" w:cs="Traditional Arabic"/>
          <w:sz w:val="32"/>
          <w:szCs w:val="32"/>
          <w:lang w:bidi="ar-DZ"/>
        </w:rPr>
        <w:t>Emile Benveniste</w:t>
      </w:r>
      <w:r>
        <w:rPr>
          <w:rFonts w:ascii="Traditional Arabic" w:hAnsi="Traditional Arabic" w:cs="Traditional Arabic"/>
          <w:sz w:val="32"/>
          <w:szCs w:val="32"/>
          <w:rtl/>
          <w:lang w:bidi="ar-DZ"/>
        </w:rPr>
        <w:t xml:space="preserve"> </w:t>
      </w:r>
      <w:r>
        <w:rPr>
          <w:rFonts w:ascii="Traditional Arabic" w:hAnsi="Traditional Arabic" w:cs="Traditional Arabic"/>
          <w:sz w:val="36"/>
          <w:szCs w:val="36"/>
          <w:rtl/>
          <w:lang w:bidi="ar-DZ"/>
        </w:rPr>
        <w:t xml:space="preserve">الذي درس الضمائر دراسة تداولية تعدّى بها اللسانيات البنيوية إلى اللسانيات التلفظية باعتبارها دراسة تسمو إلى الوقوف على آثار الذات في الخطابات </w:t>
      </w:r>
      <w:r>
        <w:rPr>
          <w:rFonts w:ascii="Traditional Arabic" w:hAnsi="Traditional Arabic" w:cs="Traditional Arabic"/>
          <w:sz w:val="32"/>
          <w:szCs w:val="32"/>
          <w:lang w:bidi="ar-DZ"/>
        </w:rPr>
        <w:t>les incidence du subjectume dans le discours</w:t>
      </w:r>
      <w:r>
        <w:rPr>
          <w:rFonts w:ascii="Traditional Arabic" w:hAnsi="Traditional Arabic" w:cs="Traditional Arabic"/>
          <w:sz w:val="36"/>
          <w:szCs w:val="36"/>
          <w:rtl/>
          <w:lang w:bidi="ar-DZ"/>
        </w:rPr>
        <w:t xml:space="preserve"> وذلك من خلال توسله بمقولتي </w:t>
      </w:r>
      <w:r>
        <w:rPr>
          <w:rFonts w:ascii="Traditional Arabic" w:hAnsi="Traditional Arabic" w:cs="Traditional Arabic"/>
          <w:b/>
          <w:bCs/>
          <w:sz w:val="36"/>
          <w:szCs w:val="36"/>
          <w:rtl/>
          <w:lang w:bidi="ar-DZ"/>
        </w:rPr>
        <w:t>الضمير</w:t>
      </w:r>
      <w:r>
        <w:rPr>
          <w:rFonts w:ascii="Traditional Arabic" w:hAnsi="Traditional Arabic" w:cs="Traditional Arabic"/>
          <w:sz w:val="36"/>
          <w:szCs w:val="36"/>
          <w:rtl/>
          <w:lang w:bidi="ar-DZ"/>
        </w:rPr>
        <w:t xml:space="preserve"> و</w:t>
      </w:r>
      <w:r>
        <w:rPr>
          <w:rFonts w:ascii="Traditional Arabic" w:hAnsi="Traditional Arabic" w:cs="Traditional Arabic"/>
          <w:b/>
          <w:bCs/>
          <w:sz w:val="36"/>
          <w:szCs w:val="36"/>
          <w:rtl/>
          <w:lang w:bidi="ar-DZ"/>
        </w:rPr>
        <w:t>الزمن</w:t>
      </w:r>
      <w:r>
        <w:rPr>
          <w:rFonts w:ascii="Traditional Arabic" w:hAnsi="Traditional Arabic" w:cs="Traditional Arabic"/>
          <w:sz w:val="36"/>
          <w:szCs w:val="36"/>
          <w:rtl/>
          <w:lang w:bidi="ar-DZ"/>
        </w:rPr>
        <w:t xml:space="preserve"> (زمن الأفعال) ليقدّم لنا نسقين من التلفظات انطلاقا من أنّ الذات هي التي تحوّل الملفوظ إلى تلفظ ومن تم، يتحوّل النشاط من اللّغة إلى الخطاب لأن (التلفظ هو توظيف اللسان بواسطة الفعل الفردي المستعمِل)</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sz w:val="36"/>
          <w:szCs w:val="36"/>
          <w:rtl/>
          <w:lang w:bidi="ar-DZ"/>
        </w:rPr>
        <w:t>.</w:t>
      </w:r>
    </w:p>
    <w:p w:rsidR="00E30468" w:rsidRPr="00790FEE" w:rsidRDefault="00E30468" w:rsidP="00790FEE">
      <w:pPr>
        <w:rPr>
          <w:szCs w:val="28"/>
          <w:lang w:bidi="ar-DZ"/>
        </w:rPr>
      </w:pPr>
    </w:p>
    <w:sectPr w:rsidR="00E30468" w:rsidRPr="00790FEE" w:rsidSect="009737A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4E9" w:rsidRDefault="009114E9" w:rsidP="00790FEE">
      <w:pPr>
        <w:spacing w:after="0" w:line="240" w:lineRule="auto"/>
      </w:pPr>
      <w:r>
        <w:separator/>
      </w:r>
    </w:p>
  </w:endnote>
  <w:endnote w:type="continuationSeparator" w:id="1">
    <w:p w:rsidR="009114E9" w:rsidRDefault="009114E9" w:rsidP="00790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4E9" w:rsidRDefault="009114E9" w:rsidP="00790FEE">
      <w:pPr>
        <w:spacing w:after="0" w:line="240" w:lineRule="auto"/>
      </w:pPr>
      <w:r>
        <w:separator/>
      </w:r>
    </w:p>
  </w:footnote>
  <w:footnote w:type="continuationSeparator" w:id="1">
    <w:p w:rsidR="009114E9" w:rsidRDefault="009114E9" w:rsidP="00790FEE">
      <w:pPr>
        <w:spacing w:after="0" w:line="240" w:lineRule="auto"/>
      </w:pPr>
      <w:r>
        <w:continuationSeparator/>
      </w:r>
    </w:p>
  </w:footnote>
  <w:footnote w:id="2">
    <w:p w:rsidR="00790FEE" w:rsidRDefault="00790FEE" w:rsidP="00790FEE">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Ferdinand de Saussure, cours de linguistique générale, p </w:t>
      </w:r>
      <w:r>
        <w:rPr>
          <w:rFonts w:ascii="Traditional Arabic" w:hAnsi="Traditional Arabic" w:cs="Traditional Arabic" w:hint="cs"/>
          <w:sz w:val="28"/>
          <w:szCs w:val="28"/>
          <w:rtl/>
        </w:rPr>
        <w:t>.</w:t>
      </w:r>
      <w:r>
        <w:rPr>
          <w:rFonts w:ascii="Traditional Arabic" w:hAnsi="Traditional Arabic" w:cs="Traditional Arabic"/>
          <w:sz w:val="28"/>
          <w:szCs w:val="28"/>
        </w:rPr>
        <w:t>166</w:t>
      </w:r>
      <w:r>
        <w:rPr>
          <w:rFonts w:ascii="Traditional Arabic" w:hAnsi="Traditional Arabic" w:cs="Traditional Arabic" w:hint="cs"/>
          <w:sz w:val="28"/>
          <w:szCs w:val="28"/>
          <w:rtl/>
        </w:rPr>
        <w:t>.</w:t>
      </w:r>
    </w:p>
  </w:footnote>
  <w:footnote w:id="3">
    <w:p w:rsidR="00790FEE" w:rsidRDefault="00790FEE" w:rsidP="00790FEE">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Groupe d’entrevene, Analyse Sémiotique des textes, p </w:t>
      </w:r>
      <w:r>
        <w:rPr>
          <w:rFonts w:ascii="Traditional Arabic" w:hAnsi="Traditional Arabic" w:cs="Traditional Arabic" w:hint="cs"/>
          <w:sz w:val="28"/>
          <w:szCs w:val="28"/>
          <w:rtl/>
        </w:rPr>
        <w:t>.14.</w:t>
      </w:r>
    </w:p>
  </w:footnote>
  <w:footnote w:id="4">
    <w:p w:rsidR="00790FEE" w:rsidRDefault="00790FEE" w:rsidP="00790FEE">
      <w:pPr>
        <w:pStyle w:val="Notedebasdepage"/>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Ibid,p</w:t>
      </w:r>
      <w:r>
        <w:rPr>
          <w:rFonts w:ascii="Traditional Arabic" w:hAnsi="Traditional Arabic" w:cs="Traditional Arabic" w:hint="cs"/>
          <w:sz w:val="28"/>
          <w:szCs w:val="28"/>
          <w:rtl/>
        </w:rPr>
        <w:t>.</w:t>
      </w:r>
      <w:r>
        <w:rPr>
          <w:rFonts w:ascii="Traditional Arabic" w:hAnsi="Traditional Arabic" w:cs="Traditional Arabic"/>
          <w:sz w:val="28"/>
          <w:szCs w:val="28"/>
        </w:rPr>
        <w:t>14</w:t>
      </w:r>
      <w:r>
        <w:rPr>
          <w:rFonts w:ascii="Traditional Arabic" w:hAnsi="Traditional Arabic" w:cs="Traditional Arabic" w:hint="cs"/>
          <w:sz w:val="28"/>
          <w:szCs w:val="28"/>
          <w:rtl/>
        </w:rPr>
        <w:t>.</w:t>
      </w:r>
    </w:p>
  </w:footnote>
  <w:footnote w:id="5">
    <w:p w:rsidR="00790FEE" w:rsidRDefault="00790FEE" w:rsidP="00790FEE">
      <w:pPr>
        <w:pStyle w:val="Notedebasdepage"/>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 xml:space="preserve">Courtes, Analyse Sémiotique de discours, De l’énoncé à l’énonciation, paris, Ed. Hachettes, 19,p .72.  </w:t>
      </w:r>
    </w:p>
  </w:footnote>
  <w:footnote w:id="6">
    <w:p w:rsidR="00790FEE" w:rsidRDefault="00790FEE" w:rsidP="00790FEE">
      <w:pPr>
        <w:pStyle w:val="Notedebasdepage"/>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Ibid, p .72.</w:t>
      </w:r>
    </w:p>
  </w:footnote>
  <w:footnote w:id="7">
    <w:p w:rsidR="00790FEE" w:rsidRDefault="00790FEE" w:rsidP="00790FEE">
      <w:pPr>
        <w:pStyle w:val="Notedebasdepage"/>
        <w:bidi/>
        <w:spacing w:line="276" w:lineRule="auto"/>
        <w:jc w:val="left"/>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 xml:space="preserve">Jean – Maric klinkenberg, précis de sémiotique générale, p .176. </w:t>
      </w:r>
      <w:r>
        <w:rPr>
          <w:rFonts w:ascii="Traditional Arabic" w:hAnsi="Traditional Arabic" w:cs="Traditional Arabic"/>
          <w:sz w:val="28"/>
          <w:szCs w:val="28"/>
          <w:rtl/>
          <w:lang w:bidi="ar-DZ"/>
        </w:rPr>
        <w:t xml:space="preserve">  ،نقلا عن</w:t>
      </w:r>
      <w:r>
        <w:rPr>
          <w:rFonts w:ascii="Traditional Arabic" w:hAnsi="Traditional Arabic" w:cs="Traditional Arabic"/>
          <w:sz w:val="28"/>
          <w:szCs w:val="28"/>
          <w:rtl/>
          <w:lang w:val="en-US" w:bidi="ar-DZ"/>
        </w:rPr>
        <w:t>،</w:t>
      </w:r>
      <w:r>
        <w:rPr>
          <w:rFonts w:ascii="Traditional Arabic" w:hAnsi="Traditional Arabic" w:cs="Traditional Arabic"/>
          <w:sz w:val="28"/>
          <w:szCs w:val="28"/>
          <w:rtl/>
          <w:lang w:bidi="ar-DZ"/>
        </w:rPr>
        <w:t xml:space="preserve"> ابن مسعود محمد العربي،الدلاليات والسيميائيات الائتلاف والاختلاف،بحث مقدم لنيل درجة الماجستير،إشراف:أد:أحمد  يوسف،جامعة وهران ،السنة الجامعية،-2006،ص 127.</w:t>
      </w:r>
    </w:p>
  </w:footnote>
  <w:footnote w:id="8">
    <w:p w:rsidR="00790FEE" w:rsidRDefault="00790FEE" w:rsidP="00790FEE">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Greimas, courtes, Sémiotique dictionnaire raisonné de la théorie du langage, p.247.</w:t>
      </w:r>
    </w:p>
  </w:footnote>
  <w:footnote w:id="9">
    <w:p w:rsidR="00790FEE" w:rsidRDefault="00790FEE" w:rsidP="00790FEE">
      <w:pPr>
        <w:pStyle w:val="Notedebasdepage"/>
        <w:spacing w:line="276" w:lineRule="auto"/>
        <w:jc w:val="left"/>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Pr>
        <w:t>Emile(Benveniste), problème de linguistique générale, Éd. Gallimard, tome 1, 1990,p.77.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30468"/>
    <w:rsid w:val="00085C53"/>
    <w:rsid w:val="000B5CC8"/>
    <w:rsid w:val="00184C6F"/>
    <w:rsid w:val="004E762C"/>
    <w:rsid w:val="006A780F"/>
    <w:rsid w:val="00790FEE"/>
    <w:rsid w:val="00902D77"/>
    <w:rsid w:val="009114E9"/>
    <w:rsid w:val="009737AA"/>
    <w:rsid w:val="00A00AFC"/>
    <w:rsid w:val="00BA4F54"/>
    <w:rsid w:val="00E30468"/>
    <w:rsid w:val="00F50D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E30468"/>
    <w:pPr>
      <w:suppressAutoHyphens/>
      <w:spacing w:after="120" w:line="276" w:lineRule="auto"/>
    </w:pPr>
    <w:rPr>
      <w:rFonts w:ascii="Calibri" w:eastAsia="Calibri" w:hAnsi="Calibri" w:cs="Calibri"/>
      <w:lang w:eastAsia="ar-SA"/>
    </w:rPr>
  </w:style>
  <w:style w:type="character" w:customStyle="1" w:styleId="CorpsdetexteCar">
    <w:name w:val="Corps de texte Car"/>
    <w:basedOn w:val="Policepardfaut"/>
    <w:link w:val="Corpsdetexte"/>
    <w:semiHidden/>
    <w:rsid w:val="00E30468"/>
    <w:rPr>
      <w:rFonts w:ascii="Calibri" w:eastAsia="Calibri" w:hAnsi="Calibri" w:cs="Calibri"/>
      <w:lang w:eastAsia="ar-SA"/>
    </w:rPr>
  </w:style>
  <w:style w:type="paragraph" w:styleId="Notedebasdepage">
    <w:name w:val="footnote text"/>
    <w:basedOn w:val="Normal"/>
    <w:link w:val="NotedebasdepageCar"/>
    <w:uiPriority w:val="99"/>
    <w:semiHidden/>
    <w:unhideWhenUsed/>
    <w:rsid w:val="00790FEE"/>
    <w:pPr>
      <w:spacing w:after="0" w:line="240" w:lineRule="auto"/>
      <w:jc w:val="right"/>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790FEE"/>
    <w:rPr>
      <w:rFonts w:eastAsiaTheme="minorEastAsia"/>
      <w:sz w:val="20"/>
      <w:szCs w:val="20"/>
      <w:lang w:eastAsia="fr-FR"/>
    </w:rPr>
  </w:style>
  <w:style w:type="character" w:styleId="Appelnotedebasdep">
    <w:name w:val="footnote reference"/>
    <w:basedOn w:val="Policepardfaut"/>
    <w:uiPriority w:val="99"/>
    <w:semiHidden/>
    <w:unhideWhenUsed/>
    <w:rsid w:val="00790FEE"/>
    <w:rPr>
      <w:vertAlign w:val="superscript"/>
    </w:rPr>
  </w:style>
</w:styles>
</file>

<file path=word/webSettings.xml><?xml version="1.0" encoding="utf-8"?>
<w:webSettings xmlns:r="http://schemas.openxmlformats.org/officeDocument/2006/relationships" xmlns:w="http://schemas.openxmlformats.org/wordprocessingml/2006/main">
  <w:divs>
    <w:div w:id="83187452">
      <w:bodyDiv w:val="1"/>
      <w:marLeft w:val="0"/>
      <w:marRight w:val="0"/>
      <w:marTop w:val="0"/>
      <w:marBottom w:val="0"/>
      <w:divBdr>
        <w:top w:val="none" w:sz="0" w:space="0" w:color="auto"/>
        <w:left w:val="none" w:sz="0" w:space="0" w:color="auto"/>
        <w:bottom w:val="none" w:sz="0" w:space="0" w:color="auto"/>
        <w:right w:val="none" w:sz="0" w:space="0" w:color="auto"/>
      </w:divBdr>
    </w:div>
    <w:div w:id="1176118625">
      <w:bodyDiv w:val="1"/>
      <w:marLeft w:val="0"/>
      <w:marRight w:val="0"/>
      <w:marTop w:val="0"/>
      <w:marBottom w:val="0"/>
      <w:divBdr>
        <w:top w:val="none" w:sz="0" w:space="0" w:color="auto"/>
        <w:left w:val="none" w:sz="0" w:space="0" w:color="auto"/>
        <w:bottom w:val="none" w:sz="0" w:space="0" w:color="auto"/>
        <w:right w:val="none" w:sz="0" w:space="0" w:color="auto"/>
      </w:divBdr>
    </w:div>
    <w:div w:id="11994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2882</Characters>
  <Application>Microsoft Office Word</Application>
  <DocSecurity>0</DocSecurity>
  <Lines>24</Lines>
  <Paragraphs>6</Paragraphs>
  <ScaleCrop>false</ScaleCrop>
  <Company>PhoeniXP</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sondos krouna</dc:creator>
  <cp:lastModifiedBy>pc</cp:lastModifiedBy>
  <cp:revision>2</cp:revision>
  <dcterms:created xsi:type="dcterms:W3CDTF">2022-01-07T01:06:00Z</dcterms:created>
  <dcterms:modified xsi:type="dcterms:W3CDTF">2022-01-07T01:06:00Z</dcterms:modified>
</cp:coreProperties>
</file>